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B050"/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聚焦领航建设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聚力发展谋划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奋力谱写新时代高质量发展新篇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江苏省宿豫中等专业学校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“省领航计划”建设情况汇报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（2021年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在市、区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党委政府的正确领导下，及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教育主管部门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的鼎力支持下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，宿豫中专坚持以习近平新时代中国特色社会主义思想为指导，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领航学校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立项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根本遵循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，全力推进项目任务落实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办学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高质量发展。现将具体情况汇报如下：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领航学校建设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组织推进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为优质完成领航学校建设任务，学校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建机制强体系，聚力强化组织领导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重过程强推进，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聚力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推动重点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eastAsia="zh-CN"/>
        </w:rPr>
        <w:t>落实。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构建领导责任体系。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强化学校第一责任人责任、分管领导“一岗双责”和部门负责人主要责任，紧紧围绕项目建设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任务，成立领航建设项目工作领导小组，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设17个工作组，形成了职责</w:t>
      </w:r>
      <w:r>
        <w:rPr>
          <w:rFonts w:hint="eastAsia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清</w:t>
      </w:r>
      <w:r>
        <w:rPr>
          <w:rFonts w:hint="default" w:ascii="Times New Roman" w:hAnsi="Times New Roman" w:eastAsia="仿宋_GB2312" w:cs="Times New Roman"/>
          <w:b w:val="0"/>
          <w:bCs w:val="0"/>
          <w:kern w:val="21"/>
          <w:sz w:val="32"/>
          <w:szCs w:val="32"/>
          <w:lang w:val="en-US" w:eastAsia="zh-CN"/>
        </w:rPr>
        <w:t>晰、目标明确、任务具体的领航建设责任体系。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建立过程推进机制。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全面推进学校面上统筹、系部过程推动、项目组具体落实的三级联动工作推进机制，制订详实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工作方案，明确三级责任清单，细化分解七大项40条项目工作内容，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序时进度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稳步推进工作落实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（三）搭建项目工作网站。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建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了五大板块17个项目工作组网站，细化分解了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111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个工作子栏目，按照项目工作系统化要求，强化动态更新，加强跟踪指导，坚持每月一通报，推进项目工作任务完成可视化、可量化、可追溯化。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（四）健全监督考核体系。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全面落实领航建设过程监督考核、会办督办机制，坚持一月一会办、一周一督办，对各部门、各项目组工作开展情况实时监控，做到动态考核、反馈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整改。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召开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座谈、研讨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会2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0余次，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项目建设推进会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次，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承办全市领航学校建设观摩会2次，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提升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领航建设质效。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目前取得的建设成效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领航项目建设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，聚力发展谋划，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全体教职员工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务实拼搏，砥砺前行，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领航学校建设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成效显著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（一）聚焦党建引领，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现代学校治理全面优化。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>全力实施党建引领工程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以党的建设带动意识形态、党风廉政和学生德育工作，出台《党建引领工程实施方案》，搭建“清风校园”“思政大讲堂”“百年党史天天学”等活动阵地，系统开展“与法同行”“青春绽放强国有我”“学党史铭党恩”等主题教育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构建意识形态工作推进、动态预警、有效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反馈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“三大机制”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筑牢课堂、科研、宣传、文化、活动五大阵地，风清气正的育人环境全面形成。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全面优化体制机制建设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深入推进运行机制改革，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优化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治理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，修订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《章程》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制订出台《教职工管理与考核办法》《学生学业成绩考核与管理办法》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等制度，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编制了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《学校制度汇编》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了校长全面负责、党组织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统揽发力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、教职工民主参与现代学校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治理新格局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三是科学构建质量保障体系。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健全教学评价机制、质量监控机制和奖励激励机制。构建“职业素质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+职业技能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”评测机制，严格实施学生学期学业水平测试；充分发挥“教诊改”功能，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建立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过程督导、专项督导、学期视导和纪律督查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质量监控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体系；完善教师奖励激励和学生奖学金制度，区政府每年设立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300万元专项教学质量奖，学校每年设立30万元“匠心筑梦”专项奖学金，奖励学测考试中品学兼优的300名学生。三项机制激发了“教”与“学”的积极性，2020年省学测毕业生总体成绩合格率近90%，技能合格率达93%，预计今年两项合格率在96%以上。《江苏教育》“领航探访”栏目，对我校的领航项目建设及高质量发展进行专题报道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2021年1月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，学校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教诊改工作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教育部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评为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教学诊断与改进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工作典型案例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（二）聚焦三项工程建设，现代化建设水平大幅提高。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现代化校园建设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建筑面积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餐旅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实训基地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学生活动中心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已建成，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2020年8月和2021年9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投入使用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学校占地面积扩大到425亩，建筑面积增加到20万平方米，极大地改善办学条件，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校园建设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展现出现代职教气息和文化特色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是建成“共融式”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信息化平台。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筹措资金1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万元，搭建教学管理、安全管理、智慧办公和智慧生活四大信息化管理平台，建成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11个省学测技能考点、省职业体验中心2个、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媒体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0间、办公云桌面456台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、6个电子阅览室，新增电子图书15万册，师生信息化应用能力大幅提升，形成了智慧校园新生态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三是推进国际化合作办学。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扩大与中德诺浩合作成果，举办5个中德汽车班，与德国商会上海办事处合作，建成“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中德AHK宿迁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”，与路德维希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艾哈德学校签署战略合作协议。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（三）聚焦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内涵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质量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建设，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综合办学实力大幅提升。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专业核心竞争力稳步提升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学校围绕市、区主导产业和战略新兴产业，建立科学动态专业调整机制，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重点加强电子商务、机电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、汽车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、餐旅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、艺术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等5大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现代化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专业群（专业链）建设，建设和转型一批与地方产业匹配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度高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2+2+1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现代化专业群（链）核心竞争优势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  <w:lang w:eastAsia="zh-CN"/>
        </w:rPr>
        <w:t>教育教学质量稳步提升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实施“三位一体”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教学模式，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举办汽车、网络安全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2个教育部“1+X”考核认证试点，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推进“四化”课程开发，开发校本教材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8门。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毕业生“双证”获得率达100%，中级工、高级工考工过关率分别达100%和90%以上。在省技能大赛中，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近三年取得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银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铜”的优异成绩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2020年获宿迁市“办学实绩一等奖”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  <w:lang w:eastAsia="zh-CN"/>
        </w:rPr>
        <w:t>三是综合办学实力日趋彰显。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筹措资金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实训基地建设和设备更新，为满足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技能教学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、培训、技能鉴定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的需求，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新建现代餐旅基地、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中德AHK宿迁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考培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“京东校园馆”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eastAsia="zh-CN"/>
        </w:rPr>
        <w:t>，改建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汽车运用、智能制造、电子商务等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业实训基地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了省现代化专业群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3个、现代化实训基地3个，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校企共建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京东校园馆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eastAsia="zh-CN"/>
        </w:rPr>
        <w:t>评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为省“产教融合型实训基地”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1050"/>
        </w:tabs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（四）聚焦校企融合培养，服务发展能力逐步提升。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创新人才培养模式。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聚焦区域产业层次向中高端转型升级带来人才需求变化，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努力推进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“双融合、四协同”人才培养模式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，与知名企业开展“双元”育人，积极引入冠龙礼品、红月小象等企业，实施现代学徒制试点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3个。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  <w:lang w:eastAsia="zh-CN"/>
        </w:rPr>
        <w:t>二是推进校企深度融合。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本地深度合作的企业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30家以上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北斗星通、</w:t>
      </w:r>
      <w:r>
        <w:rPr>
          <w:rFonts w:hint="eastAsia" w:ascii="仿宋_GB2312" w:hAnsi="仿宋_GB2312" w:eastAsia="仿宋_GB2312" w:cs="仿宋_GB2312"/>
          <w:sz w:val="32"/>
          <w:szCs w:val="32"/>
        </w:rPr>
        <w:t>京东商城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、聚灿光电等公司开展订制培养，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合作共建订单班20余个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；与京东集团共建京东校园馆、京东校园实训中心；与联盛科技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博岳集团、</w:t>
      </w:r>
      <w:r>
        <w:rPr>
          <w:rFonts w:hint="eastAsia" w:ascii="仿宋_GB2312" w:hAnsi="仿宋_GB2312" w:eastAsia="仿宋_GB2312" w:cs="仿宋_GB2312"/>
          <w:sz w:val="32"/>
          <w:szCs w:val="32"/>
        </w:rPr>
        <w:t>长电科技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等共建专业（企业）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，构建“准员工”式技能人才培养新模式。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  <w:lang w:eastAsia="zh-CN"/>
        </w:rPr>
        <w:t>三是实施精准就业推荐。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建立毕业生就业推荐和跟踪服务机制，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每年举办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校园招聘会、专题推介会、供需见面会等20余场次，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为地方企业年输送技能人才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1600多人，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毕业生就业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满意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率9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%以上，其中本地实习就业率达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%，对口就业率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%，许多毕业生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迅速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成长为企业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骨干。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（五）聚焦“德技并修”育人，人才培养质量稳步提升。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三三三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”育人工程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打造“三全”育人新格局，全面落实“立德树人”根本任务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系统推进“三三三”育人工程，扎实开展“九维”主题教育，职业素养教育形成“一系一品”，成效显著。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推动德育实践能力提升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落实“德智体美劳”全面发展育人观，推动思政课程向课程思政转变，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推进劳动、“双创”、安全法治及心理健康教育，着力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实施“6S”管理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，积极开展各类志愿者活动，组建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7个“双创”研发团队，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新建创业孵化基地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三是开展系列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社团活动。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高标准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开展校园文化艺术节、体育节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、技能节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大型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组建各级各类师生社团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100余个，文化育人氛围浓郁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学生男子篮球队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被表彰为“江苏省优秀学生社团”；校舞蹈社团连续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年荣获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市中小学生才艺展特等奖；两年来文明风采及创新创业大赛获省级以上奖项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（六）聚焦教育教学改革，核心竞争实力不断提升。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  <w:lang w:eastAsia="zh-CN"/>
        </w:rPr>
        <w:t>一是实施综合高中试点工作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创新职普融通的人才培养模式，遵循“双轨并进、学籍互转、错位发展”办学原则，成功举办综合高中试点项目，三届共招生1050人，管理运行良好，满足了地方百姓对优质、多样的综合高中教育资源的需求。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  <w:lang w:eastAsia="zh-CN"/>
        </w:rPr>
        <w:t>推动现代职教体系建设</w:t>
      </w:r>
      <w:r>
        <w:rPr>
          <w:rFonts w:hint="eastAsia" w:ascii="仿宋_GB2312" w:hAnsi="仿宋_GB2312" w:eastAsia="仿宋_GB2312" w:cs="仿宋_GB2312"/>
          <w:b/>
          <w:bCs w:val="0"/>
          <w:smallCap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扩大与高校的合作范围，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拓宽学生学历提升、技能发展的渠道。先后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江苏航空职技院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江苏信息职技院、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三江学院等高校开展“3+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</w:rPr>
        <w:t>” “3+4”分段式联合培养</w:t>
      </w:r>
      <w:r>
        <w:rPr>
          <w:rFonts w:hint="eastAsia" w:ascii="仿宋_GB2312" w:hAnsi="仿宋_GB2312" w:eastAsia="仿宋_GB2312" w:cs="仿宋_GB2312"/>
          <w:bCs/>
          <w:smallCap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三是强化师资科研能力建设。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稳步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“青蓝、骨干、名师”三大培养工程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，三年引进高水平、高技能师资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建成省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“名师工作室”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、“大师工作室”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培养省级“333”高层次人才2人，省级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名师、领军人物、专家组成员、国赛教练等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人，市学科带头人、骨干教师42人。两年来，共有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6项省、市和校本课题立项或结题，有240多篇论文在省级以上刊物发表或获奖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1050"/>
        </w:tabs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（七）聚焦产业发展需求，综合服务能力显著提升。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一是创新社会培训机制。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重点实施“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”培训工程，构建校、系两级培训机制，年均培训各类人才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000人次以上，年收入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1000万元以上，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助推政府精准脱贫、重点民生工程及中小微企业技术研发和产品创新，两年共获国家专利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10项。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拓展技能鉴定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eastAsia="zh-CN"/>
        </w:rPr>
        <w:t>渠道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获批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省技能鉴定中心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为契机，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国家技能鉴定工作规程，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面向企业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、培训机构学员、职业院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鉴定工作，稳步开展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电工、钳工、车工等34个工种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技能鉴定，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已完成技能等级认定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</w:rPr>
        <w:t>服务就业创业大局。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实施“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创业+实用技能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创业+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”培训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模式，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着力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打造“楚城面塑”创业孵化项目，累计培训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劳动力、下岗职工等26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00余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2020年获评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省社区教育品牌、长三角地区社区教育特色地方品牌项目。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存在问题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及下一步打算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存在问题。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一是领航建设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个别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项目推动进展缓慢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东西部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帮扶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、国际化合作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2个项目推进滞后（受疫情影响），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名优师资建设力度有待于进一步强化。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二是校企深度合作还有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大提升空间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在人才培养全过程中，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少数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企业积极性和参与度不高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项目培训与地方产业发展的契合度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有待于进一步提升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，培训的适岗人才、技能人才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还不能完全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满足企业的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下一步打算。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结合现有的办学方位，对标“扎根江苏、引领全国”领航学校建设目标任务，学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校下一步将聚焦问题短板，聚力提质培优，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全面推进办学高质量发展。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outlineLvl w:val="0"/>
        <w:rPr>
          <w:rFonts w:hint="default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val="en-US" w:eastAsia="zh-CN"/>
        </w:rPr>
        <w:t>一是锚定服务发展定位，全面提升办学综合实力。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eastAsia="zh-CN"/>
        </w:rPr>
        <w:t>深入推进校企合作模式机制创新，优化“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1+4+X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eastAsia="zh-CN"/>
        </w:rPr>
        <w:t>”产教融合机制，探索与京东集团等知名公司举办新型企业二级学院，拓展引企入校工程，深化“准员工”式人才培养模式。健全和完善“政校企平台+技术服务团队+多功能基地”校、系两级培训机制，年培训规模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eastAsia="zh-CN"/>
        </w:rPr>
        <w:t>人次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以上。加快推进与云南丘北职业学校、贵州六枝特区职业学校合作项目，形成长效合作帮扶机制。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eastAsia="zh-CN"/>
        </w:rPr>
        <w:t>二是锚定名优师资培养，全面提升核心竞争能力。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eastAsia="zh-CN"/>
        </w:rPr>
        <w:t>聚焦未来学校、未来学生、未来课堂对高质量教学效益的需求变化与挑战，设立名优师自培养专项资金，不断优化师资建设策略方法，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稳步推进“青蓝、骨干、名师”工程、“三个一”工程和“双师孵化”工程，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eastAsia="zh-CN"/>
        </w:rPr>
        <w:t>积极构建校企专业师资互聘、双向交流机制。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1"/>
          <w:sz w:val="32"/>
          <w:szCs w:val="32"/>
          <w:lang w:eastAsia="zh-CN"/>
        </w:rPr>
        <w:t>三是锚定国际合作交流，全面创新人才培养模式。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积极开展国际交流与合作。完善中德AHK（宿迁）考培中心建设，进一步引进国际先进的职业教育理念、教育资源和资格认证体系，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eastAsia="zh-CN"/>
        </w:rPr>
        <w:t>培养一批高素质、外向型、关键技术岗位的专业技能人才。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98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0480194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801940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A8BE3"/>
    <w:multiLevelType w:val="singleLevel"/>
    <w:tmpl w:val="9FCA8BE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BE1E29A2"/>
    <w:multiLevelType w:val="singleLevel"/>
    <w:tmpl w:val="BE1E29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CFA615"/>
    <w:multiLevelType w:val="singleLevel"/>
    <w:tmpl w:val="51CFA6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BF"/>
    <w:rsid w:val="00033AE6"/>
    <w:rsid w:val="00044226"/>
    <w:rsid w:val="0006560B"/>
    <w:rsid w:val="00073CCF"/>
    <w:rsid w:val="00097C4D"/>
    <w:rsid w:val="000C39BB"/>
    <w:rsid w:val="000D7AD3"/>
    <w:rsid w:val="00131694"/>
    <w:rsid w:val="001624EA"/>
    <w:rsid w:val="00175237"/>
    <w:rsid w:val="00177F22"/>
    <w:rsid w:val="00193687"/>
    <w:rsid w:val="001A1D1E"/>
    <w:rsid w:val="001A72E9"/>
    <w:rsid w:val="001B1426"/>
    <w:rsid w:val="001D2E31"/>
    <w:rsid w:val="001F6CCD"/>
    <w:rsid w:val="002112CE"/>
    <w:rsid w:val="00213256"/>
    <w:rsid w:val="00222A42"/>
    <w:rsid w:val="00224E3B"/>
    <w:rsid w:val="00255B5F"/>
    <w:rsid w:val="002669B8"/>
    <w:rsid w:val="00274192"/>
    <w:rsid w:val="00282B55"/>
    <w:rsid w:val="00293ACD"/>
    <w:rsid w:val="002B3D81"/>
    <w:rsid w:val="00303C2F"/>
    <w:rsid w:val="00367142"/>
    <w:rsid w:val="003747A8"/>
    <w:rsid w:val="00384E37"/>
    <w:rsid w:val="003D0B5F"/>
    <w:rsid w:val="003D663C"/>
    <w:rsid w:val="003E32A7"/>
    <w:rsid w:val="003F7E1F"/>
    <w:rsid w:val="00467CF1"/>
    <w:rsid w:val="0048520E"/>
    <w:rsid w:val="004E6316"/>
    <w:rsid w:val="004F2366"/>
    <w:rsid w:val="00534645"/>
    <w:rsid w:val="00544374"/>
    <w:rsid w:val="005742AB"/>
    <w:rsid w:val="005A3E87"/>
    <w:rsid w:val="00611D3A"/>
    <w:rsid w:val="006213C7"/>
    <w:rsid w:val="006354AF"/>
    <w:rsid w:val="00661FBF"/>
    <w:rsid w:val="00670058"/>
    <w:rsid w:val="00676C0D"/>
    <w:rsid w:val="00685B32"/>
    <w:rsid w:val="006A3C6B"/>
    <w:rsid w:val="006A3E48"/>
    <w:rsid w:val="006B46E8"/>
    <w:rsid w:val="006C2497"/>
    <w:rsid w:val="006C3B83"/>
    <w:rsid w:val="007052EB"/>
    <w:rsid w:val="00710DE1"/>
    <w:rsid w:val="00732497"/>
    <w:rsid w:val="007337CF"/>
    <w:rsid w:val="0075341A"/>
    <w:rsid w:val="00761EEA"/>
    <w:rsid w:val="00764870"/>
    <w:rsid w:val="0078494A"/>
    <w:rsid w:val="0079397C"/>
    <w:rsid w:val="00796443"/>
    <w:rsid w:val="007B13FB"/>
    <w:rsid w:val="007B46A1"/>
    <w:rsid w:val="007C4B96"/>
    <w:rsid w:val="00800453"/>
    <w:rsid w:val="008005B5"/>
    <w:rsid w:val="00853926"/>
    <w:rsid w:val="0092218D"/>
    <w:rsid w:val="0095637D"/>
    <w:rsid w:val="00956677"/>
    <w:rsid w:val="009658CB"/>
    <w:rsid w:val="009848B8"/>
    <w:rsid w:val="009C2337"/>
    <w:rsid w:val="009C5EBF"/>
    <w:rsid w:val="009D1AFB"/>
    <w:rsid w:val="009E6D3F"/>
    <w:rsid w:val="009F0809"/>
    <w:rsid w:val="00A1138B"/>
    <w:rsid w:val="00A11426"/>
    <w:rsid w:val="00A20535"/>
    <w:rsid w:val="00A26E1A"/>
    <w:rsid w:val="00A26F2B"/>
    <w:rsid w:val="00A57CF6"/>
    <w:rsid w:val="00A8459C"/>
    <w:rsid w:val="00A93450"/>
    <w:rsid w:val="00AA0FA7"/>
    <w:rsid w:val="00AD27C8"/>
    <w:rsid w:val="00AD3C55"/>
    <w:rsid w:val="00AD63AD"/>
    <w:rsid w:val="00AE2854"/>
    <w:rsid w:val="00B11D01"/>
    <w:rsid w:val="00B17A8C"/>
    <w:rsid w:val="00B6015E"/>
    <w:rsid w:val="00B638F7"/>
    <w:rsid w:val="00BF7588"/>
    <w:rsid w:val="00C047BA"/>
    <w:rsid w:val="00C062F0"/>
    <w:rsid w:val="00C06B62"/>
    <w:rsid w:val="00C11DF9"/>
    <w:rsid w:val="00C35528"/>
    <w:rsid w:val="00C764BE"/>
    <w:rsid w:val="00C80E2F"/>
    <w:rsid w:val="00C82506"/>
    <w:rsid w:val="00C92813"/>
    <w:rsid w:val="00C94968"/>
    <w:rsid w:val="00C97677"/>
    <w:rsid w:val="00CA3D36"/>
    <w:rsid w:val="00CB29FF"/>
    <w:rsid w:val="00CB2B9A"/>
    <w:rsid w:val="00CB57E5"/>
    <w:rsid w:val="00CD3ECA"/>
    <w:rsid w:val="00CD4693"/>
    <w:rsid w:val="00CD7B5A"/>
    <w:rsid w:val="00D106E5"/>
    <w:rsid w:val="00D112B6"/>
    <w:rsid w:val="00D35125"/>
    <w:rsid w:val="00D37560"/>
    <w:rsid w:val="00D440BD"/>
    <w:rsid w:val="00D57A79"/>
    <w:rsid w:val="00DB10F7"/>
    <w:rsid w:val="00DD114A"/>
    <w:rsid w:val="00DE4157"/>
    <w:rsid w:val="00DF5C92"/>
    <w:rsid w:val="00E00FBC"/>
    <w:rsid w:val="00E10B88"/>
    <w:rsid w:val="00E33665"/>
    <w:rsid w:val="00E67DA4"/>
    <w:rsid w:val="00EB0161"/>
    <w:rsid w:val="00EC162A"/>
    <w:rsid w:val="00EC688E"/>
    <w:rsid w:val="00ED4519"/>
    <w:rsid w:val="00EE018A"/>
    <w:rsid w:val="00EE64CD"/>
    <w:rsid w:val="00EF2856"/>
    <w:rsid w:val="00F10178"/>
    <w:rsid w:val="00F36FAA"/>
    <w:rsid w:val="00F50871"/>
    <w:rsid w:val="00F5410A"/>
    <w:rsid w:val="00F73626"/>
    <w:rsid w:val="01054A56"/>
    <w:rsid w:val="01622D45"/>
    <w:rsid w:val="02947A41"/>
    <w:rsid w:val="02A228C0"/>
    <w:rsid w:val="032653B8"/>
    <w:rsid w:val="03C04A51"/>
    <w:rsid w:val="03D344E5"/>
    <w:rsid w:val="03EA339A"/>
    <w:rsid w:val="040E7FF6"/>
    <w:rsid w:val="04453700"/>
    <w:rsid w:val="04831869"/>
    <w:rsid w:val="053310EE"/>
    <w:rsid w:val="05695A49"/>
    <w:rsid w:val="05F44C32"/>
    <w:rsid w:val="065F17DF"/>
    <w:rsid w:val="069C0B22"/>
    <w:rsid w:val="07330739"/>
    <w:rsid w:val="07B01E88"/>
    <w:rsid w:val="09880050"/>
    <w:rsid w:val="0AA8485D"/>
    <w:rsid w:val="0ACD0E05"/>
    <w:rsid w:val="0ADC4454"/>
    <w:rsid w:val="0B2966BC"/>
    <w:rsid w:val="0C0103D8"/>
    <w:rsid w:val="0C1C5D5B"/>
    <w:rsid w:val="0DC05AA6"/>
    <w:rsid w:val="11441C25"/>
    <w:rsid w:val="128B4308"/>
    <w:rsid w:val="13D34330"/>
    <w:rsid w:val="142766EC"/>
    <w:rsid w:val="14A30373"/>
    <w:rsid w:val="1610721F"/>
    <w:rsid w:val="1657602D"/>
    <w:rsid w:val="165837E7"/>
    <w:rsid w:val="16A87BF3"/>
    <w:rsid w:val="16B46639"/>
    <w:rsid w:val="170603DD"/>
    <w:rsid w:val="172F05D7"/>
    <w:rsid w:val="174409C8"/>
    <w:rsid w:val="17A833FC"/>
    <w:rsid w:val="18C46385"/>
    <w:rsid w:val="19097E8E"/>
    <w:rsid w:val="19A846E9"/>
    <w:rsid w:val="19D579F1"/>
    <w:rsid w:val="1C2B115B"/>
    <w:rsid w:val="1CB82A4C"/>
    <w:rsid w:val="1D3709C3"/>
    <w:rsid w:val="1D5A12AD"/>
    <w:rsid w:val="1E6535DD"/>
    <w:rsid w:val="20DD5BA0"/>
    <w:rsid w:val="20F15358"/>
    <w:rsid w:val="22736A61"/>
    <w:rsid w:val="235466FC"/>
    <w:rsid w:val="23A71791"/>
    <w:rsid w:val="23F166FB"/>
    <w:rsid w:val="24DF0EAC"/>
    <w:rsid w:val="25434C5A"/>
    <w:rsid w:val="262861B6"/>
    <w:rsid w:val="263F224F"/>
    <w:rsid w:val="269C4544"/>
    <w:rsid w:val="27515667"/>
    <w:rsid w:val="28037554"/>
    <w:rsid w:val="28462E6B"/>
    <w:rsid w:val="29E20AFB"/>
    <w:rsid w:val="2B260A96"/>
    <w:rsid w:val="2B972ED2"/>
    <w:rsid w:val="2BCD5C72"/>
    <w:rsid w:val="2DB96B02"/>
    <w:rsid w:val="2DD333C2"/>
    <w:rsid w:val="2DF950BB"/>
    <w:rsid w:val="2ED0406E"/>
    <w:rsid w:val="2F590399"/>
    <w:rsid w:val="30E57EDD"/>
    <w:rsid w:val="30F9283D"/>
    <w:rsid w:val="31957891"/>
    <w:rsid w:val="31DA67C0"/>
    <w:rsid w:val="320D44E3"/>
    <w:rsid w:val="322D034E"/>
    <w:rsid w:val="3379326E"/>
    <w:rsid w:val="344372D6"/>
    <w:rsid w:val="35190B84"/>
    <w:rsid w:val="35516A0B"/>
    <w:rsid w:val="376426FC"/>
    <w:rsid w:val="38A45550"/>
    <w:rsid w:val="38A95283"/>
    <w:rsid w:val="3A05705A"/>
    <w:rsid w:val="3A4D2730"/>
    <w:rsid w:val="3A685AA2"/>
    <w:rsid w:val="3A764531"/>
    <w:rsid w:val="3B2641D4"/>
    <w:rsid w:val="3B5D67AE"/>
    <w:rsid w:val="3BEA5BD9"/>
    <w:rsid w:val="3C4F60F7"/>
    <w:rsid w:val="3D690939"/>
    <w:rsid w:val="3F106A9A"/>
    <w:rsid w:val="3F36549B"/>
    <w:rsid w:val="3F6E7753"/>
    <w:rsid w:val="3F707714"/>
    <w:rsid w:val="3F7F2B43"/>
    <w:rsid w:val="3F91462B"/>
    <w:rsid w:val="3FA26BA5"/>
    <w:rsid w:val="410E3FFA"/>
    <w:rsid w:val="43251CEF"/>
    <w:rsid w:val="434111AF"/>
    <w:rsid w:val="43EC3E9D"/>
    <w:rsid w:val="4429665F"/>
    <w:rsid w:val="45365A67"/>
    <w:rsid w:val="457513A3"/>
    <w:rsid w:val="46271567"/>
    <w:rsid w:val="46B811C4"/>
    <w:rsid w:val="46FE39A2"/>
    <w:rsid w:val="47160BF2"/>
    <w:rsid w:val="47883326"/>
    <w:rsid w:val="4880541F"/>
    <w:rsid w:val="49E54955"/>
    <w:rsid w:val="4A555189"/>
    <w:rsid w:val="4AE04C55"/>
    <w:rsid w:val="4CFF3222"/>
    <w:rsid w:val="4D103F27"/>
    <w:rsid w:val="4E712A38"/>
    <w:rsid w:val="4E923C92"/>
    <w:rsid w:val="4E9A014E"/>
    <w:rsid w:val="4FAE47A8"/>
    <w:rsid w:val="50F07939"/>
    <w:rsid w:val="526B19D5"/>
    <w:rsid w:val="54B00E27"/>
    <w:rsid w:val="55D00D5B"/>
    <w:rsid w:val="560157A1"/>
    <w:rsid w:val="56341276"/>
    <w:rsid w:val="565D7B51"/>
    <w:rsid w:val="56DB705E"/>
    <w:rsid w:val="585A4BAE"/>
    <w:rsid w:val="586B00A9"/>
    <w:rsid w:val="58B4754A"/>
    <w:rsid w:val="5957362B"/>
    <w:rsid w:val="597C3CB9"/>
    <w:rsid w:val="5A217BDA"/>
    <w:rsid w:val="5B425043"/>
    <w:rsid w:val="5B7655EC"/>
    <w:rsid w:val="5B7973DA"/>
    <w:rsid w:val="5BB109FB"/>
    <w:rsid w:val="5C1E2286"/>
    <w:rsid w:val="5C7B587C"/>
    <w:rsid w:val="5C8E0F41"/>
    <w:rsid w:val="5E131F70"/>
    <w:rsid w:val="5E4841B3"/>
    <w:rsid w:val="5E5F0A8F"/>
    <w:rsid w:val="5EAB4949"/>
    <w:rsid w:val="5EC81B1E"/>
    <w:rsid w:val="5EEE309A"/>
    <w:rsid w:val="5F284359"/>
    <w:rsid w:val="5F32695C"/>
    <w:rsid w:val="60304A67"/>
    <w:rsid w:val="61475002"/>
    <w:rsid w:val="62B00447"/>
    <w:rsid w:val="633C3CF4"/>
    <w:rsid w:val="63EC5435"/>
    <w:rsid w:val="64487700"/>
    <w:rsid w:val="6589366B"/>
    <w:rsid w:val="65E27FB0"/>
    <w:rsid w:val="662050E0"/>
    <w:rsid w:val="662A0CA8"/>
    <w:rsid w:val="662E481D"/>
    <w:rsid w:val="665A70FA"/>
    <w:rsid w:val="67141DE7"/>
    <w:rsid w:val="671B5840"/>
    <w:rsid w:val="67506F77"/>
    <w:rsid w:val="675C55EF"/>
    <w:rsid w:val="67960AB8"/>
    <w:rsid w:val="67D90079"/>
    <w:rsid w:val="67F34A28"/>
    <w:rsid w:val="686F2920"/>
    <w:rsid w:val="688259F7"/>
    <w:rsid w:val="6A982EBD"/>
    <w:rsid w:val="6B6F5D48"/>
    <w:rsid w:val="6C370436"/>
    <w:rsid w:val="6CE5168F"/>
    <w:rsid w:val="6E2733F1"/>
    <w:rsid w:val="6E44389C"/>
    <w:rsid w:val="6E7D3FB7"/>
    <w:rsid w:val="6EF867D8"/>
    <w:rsid w:val="70344451"/>
    <w:rsid w:val="7067065A"/>
    <w:rsid w:val="70B90DBA"/>
    <w:rsid w:val="71476F11"/>
    <w:rsid w:val="71AB7AB5"/>
    <w:rsid w:val="71EA12CA"/>
    <w:rsid w:val="72205A6F"/>
    <w:rsid w:val="730812F8"/>
    <w:rsid w:val="745724B4"/>
    <w:rsid w:val="74847A5A"/>
    <w:rsid w:val="750E7F98"/>
    <w:rsid w:val="753F6867"/>
    <w:rsid w:val="75465D92"/>
    <w:rsid w:val="75884997"/>
    <w:rsid w:val="775747D0"/>
    <w:rsid w:val="78FA76A7"/>
    <w:rsid w:val="79CA3A09"/>
    <w:rsid w:val="79D12A23"/>
    <w:rsid w:val="7B1735A4"/>
    <w:rsid w:val="7B441E7A"/>
    <w:rsid w:val="7BF470C4"/>
    <w:rsid w:val="7CBD3519"/>
    <w:rsid w:val="7D6D05DE"/>
    <w:rsid w:val="7D8D1DBA"/>
    <w:rsid w:val="7DE121D8"/>
    <w:rsid w:val="7F2F4243"/>
    <w:rsid w:val="7F8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</w:rPr>
  </w:style>
  <w:style w:type="paragraph" w:styleId="3">
    <w:name w:val="Body Text Indent"/>
    <w:basedOn w:val="1"/>
    <w:next w:val="4"/>
    <w:qFormat/>
    <w:uiPriority w:val="0"/>
    <w:pPr>
      <w:adjustRightInd w:val="0"/>
      <w:spacing w:line="288" w:lineRule="auto"/>
      <w:ind w:firstLine="600"/>
    </w:pPr>
    <w:rPr>
      <w:rFonts w:eastAsia="微软简仿宋"/>
      <w:sz w:val="3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250" w:line="432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3178</Characters>
  <Lines>26</Lines>
  <Paragraphs>7</Paragraphs>
  <TotalTime>13</TotalTime>
  <ScaleCrop>false</ScaleCrop>
  <LinksUpToDate>false</LinksUpToDate>
  <CharactersWithSpaces>3728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2019-03-11T08:26:00Z</dcterms:created>
  <dc:creator>admin</dc:creator>
  <cp:lastModifiedBy>于韶山</cp:lastModifiedBy>
  <cp:lastPrinted>2021-11-23T02:30:00Z</cp:lastPrinted>
  <dcterms:modified xsi:type="dcterms:W3CDTF">2021-12-06T10:03:32Z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0800AB09D114496CBA9B7D836B80E8D0</vt:lpwstr>
  </property>
  <property fmtid="{D5CDD505-2E9C-101B-9397-08002B2CF9AE}" pid="4" name="KSOSaveFontToCloudKey">
    <vt:lpwstr>649409980_cloud</vt:lpwstr>
  </property>
</Properties>
</file>