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ED" w:rsidRDefault="00E646ED" w:rsidP="00E646ED">
      <w:pPr>
        <w:topLinePunct/>
        <w:adjustRightInd w:val="0"/>
        <w:jc w:val="center"/>
        <w:rPr>
          <w:rFonts w:ascii="宋体" w:hAnsi="宋体" w:cs="Arial Unicode MS"/>
          <w:b/>
          <w:sz w:val="32"/>
          <w:szCs w:val="32"/>
        </w:rPr>
      </w:pPr>
      <w:r>
        <w:rPr>
          <w:rFonts w:ascii="宋体" w:hAnsi="宋体" w:cs="Arial Unicode MS" w:hint="eastAsia"/>
          <w:b/>
          <w:sz w:val="32"/>
          <w:szCs w:val="32"/>
        </w:rPr>
        <w:t>江苏省宿豫中等专业学校电子商务专业</w:t>
      </w:r>
    </w:p>
    <w:p w:rsidR="00E646ED" w:rsidRPr="00E646ED" w:rsidRDefault="00E646ED" w:rsidP="00E646ED">
      <w:pPr>
        <w:topLinePunct/>
        <w:adjustRightInd w:val="0"/>
        <w:jc w:val="center"/>
        <w:rPr>
          <w:rFonts w:ascii="宋体" w:hAnsi="宋体" w:cs="Arial Unicode MS"/>
          <w:b/>
          <w:sz w:val="32"/>
          <w:szCs w:val="32"/>
        </w:rPr>
      </w:pPr>
      <w:r>
        <w:rPr>
          <w:rFonts w:ascii="宋体" w:hAnsi="宋体" w:cs="Arial Unicode MS" w:hint="eastAsia"/>
          <w:b/>
          <w:sz w:val="32"/>
          <w:szCs w:val="32"/>
        </w:rPr>
        <w:t>《会计基础》课程教学标准</w:t>
      </w:r>
    </w:p>
    <w:p w:rsidR="00E646ED" w:rsidRPr="00B65C42" w:rsidRDefault="00E646ED" w:rsidP="00E646ED">
      <w:pPr>
        <w:spacing w:beforeLines="50" w:before="156" w:afterLines="50" w:after="156" w:line="360" w:lineRule="auto"/>
        <w:ind w:firstLineChars="200" w:firstLine="482"/>
        <w:rPr>
          <w:rFonts w:ascii="仿宋_GB2312" w:eastAsia="仿宋_GB2312"/>
          <w:b/>
          <w:color w:val="FF0000"/>
        </w:rPr>
      </w:pPr>
      <w:r w:rsidRPr="00E906E9">
        <w:rPr>
          <w:rFonts w:ascii="仿宋_GB2312" w:eastAsia="仿宋_GB2312" w:hint="eastAsia"/>
          <w:b/>
          <w:sz w:val="24"/>
        </w:rPr>
        <w:t>1．课程定位与设计思路</w:t>
      </w:r>
    </w:p>
    <w:p w:rsidR="00E646ED" w:rsidRPr="00B65C42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color w:val="FF0000"/>
        </w:rPr>
      </w:pPr>
      <w:r w:rsidRPr="00E906E9">
        <w:rPr>
          <w:rFonts w:ascii="仿宋_GB2312" w:eastAsia="仿宋_GB2312" w:hint="eastAsia"/>
          <w:b/>
          <w:sz w:val="24"/>
        </w:rPr>
        <w:t>1．1课程定位</w:t>
      </w:r>
    </w:p>
    <w:p w:rsidR="00E646ED" w:rsidRPr="0092729E" w:rsidRDefault="00E646ED" w:rsidP="00E646ED">
      <w:pPr>
        <w:widowControl/>
        <w:spacing w:line="360" w:lineRule="auto"/>
        <w:ind w:firstLineChars="150" w:firstLine="360"/>
        <w:rPr>
          <w:rFonts w:ascii="仿宋_GB2312" w:eastAsia="仿宋_GB2312" w:hAnsi="宋体"/>
          <w:color w:val="000000"/>
          <w:kern w:val="0"/>
          <w:sz w:val="24"/>
        </w:rPr>
      </w:pP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《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  <w:lang w:eastAsia="zh-Hans"/>
        </w:rPr>
        <w:t>会计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基础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  <w:lang w:eastAsia="zh-Hans"/>
        </w:rPr>
        <w:t>》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课程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  <w:lang w:eastAsia="zh-Hans"/>
        </w:rPr>
        <w:t>是财经类专业的必修课程之一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，目标是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通过教师课堂讲授、实物演示、学生自主学习等方法，使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学生初步掌握会计核算的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基本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程序和基本方法、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基本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</w:rPr>
        <w:t>技能，</w:t>
      </w:r>
      <w:r w:rsidRPr="007175D9">
        <w:rPr>
          <w:rFonts w:ascii="仿宋_GB2312" w:eastAsia="仿宋_GB2312" w:hAnsi="Verdana" w:hint="eastAsia"/>
          <w:color w:val="000000"/>
          <w:sz w:val="24"/>
        </w:rPr>
        <w:t>培养学生熟</w:t>
      </w:r>
      <w:r>
        <w:rPr>
          <w:rFonts w:ascii="仿宋_GB2312" w:eastAsia="仿宋_GB2312" w:hAnsi="Verdana" w:hint="eastAsia"/>
          <w:color w:val="000000"/>
          <w:sz w:val="24"/>
        </w:rPr>
        <w:t>练</w:t>
      </w:r>
      <w:r w:rsidRPr="007175D9">
        <w:rPr>
          <w:rFonts w:ascii="仿宋_GB2312" w:eastAsia="仿宋_GB2312" w:hAnsi="Verdana" w:hint="eastAsia"/>
          <w:color w:val="000000"/>
          <w:sz w:val="24"/>
        </w:rPr>
        <w:t>运用会计核</w:t>
      </w:r>
      <w:r>
        <w:rPr>
          <w:rFonts w:ascii="仿宋_GB2312" w:eastAsia="仿宋_GB2312" w:hAnsi="Verdana" w:hint="eastAsia"/>
          <w:color w:val="000000"/>
          <w:sz w:val="24"/>
        </w:rPr>
        <w:t>算方法进行建账、填制审核会计凭证、登记会计账簿</w:t>
      </w:r>
      <w:r w:rsidRPr="007175D9">
        <w:rPr>
          <w:rFonts w:ascii="仿宋_GB2312" w:eastAsia="仿宋_GB2312" w:hAnsi="Verdana" w:hint="eastAsia"/>
          <w:color w:val="000000"/>
          <w:sz w:val="24"/>
        </w:rPr>
        <w:t>，</w:t>
      </w:r>
      <w:r>
        <w:rPr>
          <w:rFonts w:ascii="仿宋_GB2312" w:eastAsia="仿宋_GB2312" w:hAnsi="Verdana" w:hint="eastAsia"/>
          <w:color w:val="000000"/>
          <w:sz w:val="24"/>
        </w:rPr>
        <w:t>编制会计报表，</w:t>
      </w:r>
      <w:r w:rsidRPr="007175D9">
        <w:rPr>
          <w:rFonts w:ascii="仿宋_GB2312" w:eastAsia="仿宋_GB2312" w:hAnsi="Verdana" w:hint="eastAsia"/>
          <w:color w:val="000000"/>
          <w:sz w:val="24"/>
        </w:rPr>
        <w:t>具备初步的会计核算的实操能力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  <w:lang w:eastAsia="zh-Hans"/>
        </w:rPr>
        <w:t>。</w:t>
      </w:r>
      <w:r w:rsidRPr="0092729E">
        <w:rPr>
          <w:rFonts w:ascii="仿宋_GB2312" w:eastAsia="仿宋_GB2312" w:hAnsi="宋体" w:hint="eastAsia"/>
          <w:color w:val="000000"/>
          <w:kern w:val="0"/>
          <w:sz w:val="24"/>
          <w:lang w:val="en"/>
        </w:rPr>
        <w:t xml:space="preserve"> </w:t>
      </w:r>
    </w:p>
    <w:p w:rsidR="00E646ED" w:rsidRPr="00E906E9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1．2设计思路</w:t>
      </w:r>
    </w:p>
    <w:p w:rsidR="00E646ED" w:rsidRPr="004A1613" w:rsidRDefault="00E646ED" w:rsidP="00E646ED">
      <w:pPr>
        <w:pStyle w:val="a6"/>
        <w:spacing w:line="360" w:lineRule="auto"/>
        <w:ind w:firstLineChars="200" w:firstLine="480"/>
        <w:rPr>
          <w:rFonts w:ascii="仿宋_GB2312" w:eastAsia="仿宋_GB2312" w:hAnsi="Times New Roman" w:cs="宋体"/>
          <w:kern w:val="0"/>
          <w:sz w:val="24"/>
          <w:szCs w:val="24"/>
        </w:rPr>
      </w:pPr>
      <w:r w:rsidRPr="00DE4080">
        <w:rPr>
          <w:rFonts w:ascii="仿宋_GB2312" w:eastAsia="仿宋_GB2312" w:hint="eastAsia"/>
          <w:color w:val="000000"/>
          <w:sz w:val="24"/>
          <w:szCs w:val="24"/>
        </w:rPr>
        <w:t>以培养学生的职业能力为重点</w:t>
      </w:r>
      <w:r>
        <w:rPr>
          <w:rFonts w:ascii="仿宋_GB2312" w:eastAsia="仿宋_GB2312" w:hint="eastAsia"/>
          <w:color w:val="000000"/>
          <w:sz w:val="24"/>
          <w:szCs w:val="24"/>
        </w:rPr>
        <w:t>，</w:t>
      </w:r>
      <w:r w:rsidRPr="00DE4080">
        <w:rPr>
          <w:rFonts w:ascii="仿宋_GB2312" w:eastAsia="仿宋_GB2312" w:hint="eastAsia"/>
          <w:color w:val="000000"/>
          <w:sz w:val="24"/>
          <w:szCs w:val="24"/>
        </w:rPr>
        <w:t>根据就业导向和高</w:t>
      </w:r>
      <w:r>
        <w:rPr>
          <w:rFonts w:ascii="仿宋_GB2312" w:eastAsia="仿宋_GB2312" w:hint="eastAsia"/>
          <w:color w:val="000000"/>
          <w:sz w:val="24"/>
          <w:szCs w:val="24"/>
        </w:rPr>
        <w:t>职</w:t>
      </w:r>
      <w:r w:rsidRPr="00DE4080">
        <w:rPr>
          <w:rFonts w:ascii="仿宋_GB2312" w:eastAsia="仿宋_GB2312" w:hint="eastAsia"/>
          <w:color w:val="000000"/>
          <w:sz w:val="24"/>
          <w:szCs w:val="24"/>
        </w:rPr>
        <w:t>应用人才培养规格的要求，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从新的设计理念出发，将抛弃</w:t>
      </w:r>
      <w:r w:rsidRPr="00B317A9">
        <w:rPr>
          <w:rFonts w:ascii="仿宋_GB2312" w:eastAsia="仿宋_GB2312" w:hAnsi="Times New Roman" w:hint="eastAsia"/>
          <w:sz w:val="24"/>
          <w:szCs w:val="24"/>
        </w:rPr>
        <w:t>传统的以</w:t>
      </w:r>
      <w:r>
        <w:rPr>
          <w:rFonts w:ascii="仿宋_GB2312" w:eastAsia="仿宋_GB2312" w:hAnsi="Times New Roman" w:hint="eastAsia"/>
          <w:sz w:val="24"/>
          <w:szCs w:val="24"/>
        </w:rPr>
        <w:t>教</w:t>
      </w:r>
      <w:r w:rsidRPr="00B317A9">
        <w:rPr>
          <w:rFonts w:ascii="仿宋_GB2312" w:eastAsia="仿宋_GB2312" w:hAnsi="Times New Roman" w:hint="eastAsia"/>
          <w:sz w:val="24"/>
          <w:szCs w:val="24"/>
        </w:rPr>
        <w:t>师为主体的灌输式教学方法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，体现</w:t>
      </w:r>
      <w:r w:rsidRPr="004A1613">
        <w:rPr>
          <w:rFonts w:ascii="仿宋_GB2312" w:eastAsia="仿宋_GB2312" w:hAnsi="Times New Roman" w:cs="宋体" w:hint="eastAsia"/>
          <w:kern w:val="0"/>
          <w:sz w:val="24"/>
          <w:szCs w:val="24"/>
        </w:rPr>
        <w:t>以教师为主导，学生为主体的学生自主学习的理念，</w:t>
      </w:r>
      <w:r w:rsidRPr="00B317A9">
        <w:rPr>
          <w:rFonts w:ascii="仿宋_GB2312" w:eastAsia="仿宋_GB2312" w:hAnsi="Times New Roman" w:hint="eastAsia"/>
          <w:sz w:val="24"/>
          <w:szCs w:val="24"/>
        </w:rPr>
        <w:t>会计工作任务为导向的教学方法</w:t>
      </w:r>
      <w:r>
        <w:rPr>
          <w:rFonts w:ascii="仿宋_GB2312" w:eastAsia="仿宋_GB2312" w:hAnsi="Times New Roman" w:hint="eastAsia"/>
          <w:sz w:val="24"/>
          <w:szCs w:val="24"/>
        </w:rPr>
        <w:t>，</w:t>
      </w:r>
      <w:r w:rsidRPr="004A1613">
        <w:rPr>
          <w:rFonts w:ascii="仿宋_GB2312" w:eastAsia="仿宋_GB2312" w:hAnsi="Times New Roman" w:cs="宋体" w:hint="eastAsia"/>
          <w:kern w:val="0"/>
          <w:sz w:val="24"/>
          <w:szCs w:val="24"/>
        </w:rPr>
        <w:t>使学生在做中学，注重学生方法能力、社会能力、专业能力的培养，让学生在动手实践中理解、把握重要的专业知识，给学生一种拓展能力发展的空间。</w:t>
      </w:r>
    </w:p>
    <w:p w:rsidR="00E646ED" w:rsidRPr="007F23AF" w:rsidRDefault="00E646ED" w:rsidP="00E646ED">
      <w:pPr>
        <w:pStyle w:val="a6"/>
        <w:spacing w:line="360" w:lineRule="auto"/>
        <w:ind w:firstLineChars="200" w:firstLine="480"/>
        <w:rPr>
          <w:rFonts w:ascii="仿宋_GB2312" w:eastAsia="仿宋_GB2312" w:hAnsi="Times New Roman" w:cs="宋体"/>
          <w:kern w:val="0"/>
          <w:sz w:val="24"/>
          <w:szCs w:val="24"/>
        </w:rPr>
      </w:pPr>
      <w:r w:rsidRPr="007F23AF">
        <w:rPr>
          <w:rFonts w:ascii="仿宋_GB2312" w:eastAsia="仿宋_GB2312" w:hAnsi="宋体" w:hint="eastAsia"/>
          <w:sz w:val="24"/>
          <w:szCs w:val="24"/>
        </w:rPr>
        <w:t>在教学中积极探索校企合作、融合，共育高技能的人才培养模式。</w:t>
      </w:r>
    </w:p>
    <w:p w:rsidR="00E646ED" w:rsidRPr="00E906E9" w:rsidRDefault="00E646ED" w:rsidP="00E646ED">
      <w:pPr>
        <w:spacing w:beforeLines="50" w:before="156" w:afterLines="50" w:after="156"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2．课程目标</w:t>
      </w:r>
    </w:p>
    <w:p w:rsidR="00E646ED" w:rsidRPr="00E906E9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2．1知识目标</w:t>
      </w:r>
    </w:p>
    <w:p w:rsidR="00E646ED" w:rsidRPr="00743E2F" w:rsidRDefault="00E646ED" w:rsidP="00E646E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（</w:t>
      </w:r>
      <w:r w:rsidRPr="006A79A1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）了解会计的含义，熟悉基本职能、掌握会计对象和信息质量要求；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（2）了解会计要素含义，掌握会计要素的内容及特点；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（3）了解会计等式的含义，理解企业经济业务四大典型，掌握会计等式的具体运用；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（4）熟悉会计科目与账户的关系；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（5）掌握借贷记账法的特点，熟练其在企业中的具体运用；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（6）了解会计凭证的含义、熟悉会计凭证的种类，掌握其填制与审核方法；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（7）了解会计账簿的种类、用途，掌握其登记方法；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（8）熟悉对账、结账的方法；掌握错账更正的方法；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（9）了解财产清查的含义和意义，掌握财产清查的方法及其结果的处理；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（10）了解财务会计报表的意义、种类掌握资产负债表和利润表的编制方法；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lastRenderedPageBreak/>
        <w:t>（11）了解账务处理程序的意义、种类，掌握记账凭证账务处理程序和科目汇总表账务处理程序的运用。</w:t>
      </w:r>
    </w:p>
    <w:p w:rsidR="00E646ED" w:rsidRPr="00E906E9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2．2能力目标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（</w:t>
      </w: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1） 能够规范的开展会计工作；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（2） 能够识别、填制与审核各种类型的原始凭证；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（3） 能够根据企业发生的经济业务编制并审核各类型的记账凭证；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（4） 能够登记现金日记账、银行存款日记账、及各类型的明细账；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（5） 能够编制科目汇总表；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（6） 能够根据记账凭证或科目汇总表，登记总账；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（7） 能够进行对账、结账和错账更正；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（8） 能够对财产清查的结果做出相应的会计处理；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（9） 能够编制简单的资产负债表和利润表；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（10）能够对中小型企业进行全套账务处理；</w:t>
      </w:r>
    </w:p>
    <w:p w:rsidR="00E646ED" w:rsidRPr="00443941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43941">
        <w:rPr>
          <w:rFonts w:ascii="仿宋_GB2312" w:eastAsia="仿宋_GB2312" w:hAnsi="宋体" w:cs="宋体" w:hint="eastAsia"/>
          <w:bCs/>
          <w:kern w:val="0"/>
          <w:sz w:val="24"/>
        </w:rPr>
        <w:t>（11）能够终身学习以胜任变化环境下的新会计工作。</w:t>
      </w:r>
    </w:p>
    <w:p w:rsidR="00E646ED" w:rsidRPr="00E906E9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2．3素质目标</w:t>
      </w:r>
    </w:p>
    <w:p w:rsidR="00E646ED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9C373C"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）爱岗敬业、诚实守信、客观公正的职业道德；</w:t>
      </w:r>
    </w:p>
    <w:p w:rsidR="00E646ED" w:rsidRPr="008F5CE4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（2）坚持准则、廉洁自律、严谨规范的法律意识；</w:t>
      </w:r>
    </w:p>
    <w:p w:rsidR="00E646ED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（3）分工明确、职责明晰、协同高效的岗位意识；</w:t>
      </w:r>
    </w:p>
    <w:p w:rsidR="00E646ED" w:rsidRPr="008F5CE4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（4）勤学思辨、参与决策、服务领导的管理意识；</w:t>
      </w:r>
    </w:p>
    <w:p w:rsidR="00E646ED" w:rsidRPr="009C373C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（5）</w:t>
      </w:r>
      <w:r w:rsidRPr="009C373C">
        <w:rPr>
          <w:rFonts w:ascii="仿宋_GB2312" w:eastAsia="仿宋_GB2312" w:hint="eastAsia"/>
          <w:color w:val="000000"/>
          <w:sz w:val="24"/>
        </w:rPr>
        <w:t>团队</w:t>
      </w:r>
      <w:r>
        <w:rPr>
          <w:rFonts w:ascii="仿宋_GB2312" w:eastAsia="仿宋_GB2312" w:hint="eastAsia"/>
          <w:color w:val="000000"/>
          <w:sz w:val="24"/>
        </w:rPr>
        <w:t>合</w:t>
      </w:r>
      <w:r w:rsidRPr="009C373C">
        <w:rPr>
          <w:rFonts w:ascii="仿宋_GB2312" w:eastAsia="仿宋_GB2312" w:hint="eastAsia"/>
          <w:color w:val="000000"/>
          <w:sz w:val="24"/>
        </w:rPr>
        <w:t>作</w:t>
      </w:r>
      <w:r>
        <w:rPr>
          <w:rFonts w:ascii="仿宋_GB2312" w:eastAsia="仿宋_GB2312" w:hint="eastAsia"/>
          <w:color w:val="000000"/>
          <w:sz w:val="24"/>
        </w:rPr>
        <w:t>，</w:t>
      </w:r>
      <w:r w:rsidRPr="009C373C">
        <w:rPr>
          <w:rFonts w:ascii="仿宋_GB2312" w:eastAsia="仿宋_GB2312" w:hint="eastAsia"/>
          <w:color w:val="000000"/>
          <w:sz w:val="24"/>
        </w:rPr>
        <w:t>沟通协调</w:t>
      </w:r>
      <w:r>
        <w:rPr>
          <w:rFonts w:ascii="仿宋_GB2312" w:eastAsia="仿宋_GB2312" w:hint="eastAsia"/>
          <w:color w:val="000000"/>
          <w:sz w:val="24"/>
        </w:rPr>
        <w:t>、语言表达的工作能力；</w:t>
      </w:r>
      <w:r w:rsidRPr="009C373C">
        <w:rPr>
          <w:rFonts w:ascii="仿宋_GB2312" w:eastAsia="仿宋_GB2312" w:hint="eastAsia"/>
          <w:color w:val="000000"/>
          <w:sz w:val="24"/>
        </w:rPr>
        <w:t xml:space="preserve"> </w:t>
      </w:r>
    </w:p>
    <w:p w:rsidR="00E646ED" w:rsidRDefault="00E646ED" w:rsidP="00E646E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（6）理论扎实、实务熟练、精益求精的职业技能。</w:t>
      </w:r>
    </w:p>
    <w:p w:rsidR="00E646ED" w:rsidRPr="00E906E9" w:rsidRDefault="00E646ED" w:rsidP="00E646ED">
      <w:pPr>
        <w:spacing w:beforeLines="50" w:before="156" w:afterLines="50" w:after="156"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E906E9">
        <w:rPr>
          <w:rFonts w:ascii="仿宋_GB2312" w:eastAsia="仿宋_GB2312" w:hint="eastAsia"/>
          <w:b/>
          <w:sz w:val="24"/>
        </w:rPr>
        <w:t>3．教学内容</w:t>
      </w:r>
    </w:p>
    <w:p w:rsidR="00E646ED" w:rsidRPr="004F43CE" w:rsidRDefault="00E646ED" w:rsidP="00E646ED">
      <w:pPr>
        <w:spacing w:line="360" w:lineRule="auto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F5CE4">
        <w:rPr>
          <w:rFonts w:ascii="仿宋_GB2312" w:eastAsia="仿宋_GB2312" w:hint="eastAsia"/>
          <w:color w:val="000000"/>
          <w:sz w:val="24"/>
        </w:rPr>
        <w:t>根据该课程职业岗位（收银、出纳、记账、核算）岗位工作的分析和调查，</w:t>
      </w:r>
      <w:r>
        <w:rPr>
          <w:rFonts w:ascii="仿宋_GB2312" w:eastAsia="仿宋_GB2312" w:hint="eastAsia"/>
          <w:color w:val="000000"/>
          <w:sz w:val="24"/>
        </w:rPr>
        <w:t>以及当前高职高专培养目标，</w:t>
      </w:r>
      <w:r w:rsidRPr="008F5CE4">
        <w:rPr>
          <w:rFonts w:ascii="仿宋_GB2312" w:eastAsia="仿宋_GB2312" w:hint="eastAsia"/>
          <w:color w:val="000000"/>
          <w:sz w:val="24"/>
        </w:rPr>
        <w:t>我们设计了</w:t>
      </w:r>
      <w:r w:rsidRPr="008F5CE4">
        <w:rPr>
          <w:rFonts w:ascii="仿宋_GB2312" w:eastAsia="仿宋_GB2312" w:hint="eastAsia"/>
          <w:sz w:val="24"/>
        </w:rPr>
        <w:t>该课程教学内容设计</w:t>
      </w:r>
      <w:r w:rsidRPr="008F5CE4">
        <w:rPr>
          <w:rFonts w:ascii="仿宋_GB2312" w:eastAsia="仿宋_GB2312" w:hint="eastAsia"/>
          <w:kern w:val="0"/>
          <w:sz w:val="24"/>
        </w:rPr>
        <w:t>是以企业的会计工作过程为导向，以企业的典型会计工作任务为载体，按照以学生为主体，能力培养为重点，任务训练为核心的要求，对该课程进行了教学内容解构和重构。打破了原有的学科知识体系，即抛弃了沿用几十年的由产生到发展，先讲理论再做练习，教师机械地讲，学生被动学的传统的课程设计和教学设计，重构了反映企业会计工作岗位能力要求的新的课程体系，按照学习领域课程的要求，设计了</w:t>
      </w:r>
      <w:r w:rsidRPr="008F5CE4">
        <w:rPr>
          <w:rFonts w:ascii="仿宋_GB2312" w:eastAsia="仿宋_GB2312" w:hint="eastAsia"/>
          <w:sz w:val="24"/>
        </w:rPr>
        <w:t>建账</w:t>
      </w:r>
      <w:r>
        <w:rPr>
          <w:rFonts w:ascii="仿宋_GB2312" w:eastAsia="仿宋_GB2312" w:hint="eastAsia"/>
          <w:sz w:val="24"/>
        </w:rPr>
        <w:t>、</w:t>
      </w:r>
      <w:r w:rsidRPr="008F5CE4">
        <w:rPr>
          <w:rFonts w:ascii="仿宋_GB2312" w:eastAsia="仿宋_GB2312" w:hint="eastAsia"/>
          <w:sz w:val="24"/>
        </w:rPr>
        <w:t>日常业务处理</w:t>
      </w:r>
      <w:r>
        <w:rPr>
          <w:rFonts w:ascii="仿宋_GB2312" w:eastAsia="仿宋_GB2312" w:hint="eastAsia"/>
          <w:sz w:val="24"/>
        </w:rPr>
        <w:t>、</w:t>
      </w:r>
      <w:r w:rsidRPr="008F5CE4">
        <w:rPr>
          <w:rFonts w:ascii="仿宋_GB2312" w:eastAsia="仿宋_GB2312" w:hint="eastAsia"/>
          <w:sz w:val="24"/>
        </w:rPr>
        <w:t>期末业务处理</w:t>
      </w:r>
      <w:r>
        <w:rPr>
          <w:rFonts w:ascii="仿宋_GB2312" w:eastAsia="仿宋_GB2312" w:hint="eastAsia"/>
          <w:sz w:val="24"/>
        </w:rPr>
        <w:t>和</w:t>
      </w:r>
      <w:r w:rsidRPr="008F5CE4">
        <w:rPr>
          <w:rFonts w:ascii="仿宋_GB2312" w:eastAsia="仿宋_GB2312" w:hint="eastAsia"/>
          <w:sz w:val="24"/>
        </w:rPr>
        <w:t>会计报告的编制</w:t>
      </w:r>
      <w:r w:rsidRPr="008F5CE4">
        <w:rPr>
          <w:rFonts w:ascii="仿宋_GB2312" w:eastAsia="仿宋_GB2312" w:hint="eastAsia"/>
          <w:kern w:val="0"/>
          <w:sz w:val="24"/>
        </w:rPr>
        <w:lastRenderedPageBreak/>
        <w:t>四个学习情境</w:t>
      </w:r>
      <w:r w:rsidRPr="008F5CE4">
        <w:rPr>
          <w:rFonts w:ascii="仿宋_GB2312" w:eastAsia="仿宋_GB2312" w:hint="eastAsia"/>
          <w:sz w:val="24"/>
        </w:rPr>
        <w:t>。课程突出了以培养学生职业能力为重点设计课程，理论必须够用，由简单到复杂为原则和基于工作过程导向的理念进行课程</w:t>
      </w:r>
      <w:r>
        <w:rPr>
          <w:rFonts w:ascii="仿宋_GB2312" w:eastAsia="仿宋_GB2312" w:hint="eastAsia"/>
          <w:sz w:val="24"/>
        </w:rPr>
        <w:t>教学内容的设计和安排</w:t>
      </w:r>
      <w:r w:rsidRPr="008F5CE4">
        <w:rPr>
          <w:rFonts w:ascii="仿宋_GB2312" w:eastAsia="仿宋_GB2312" w:hint="eastAsia"/>
          <w:sz w:val="24"/>
        </w:rPr>
        <w:t>。</w:t>
      </w:r>
    </w:p>
    <w:p w:rsidR="00E646ED" w:rsidRPr="00373FA4" w:rsidRDefault="00E646ED" w:rsidP="00E646ED">
      <w:pPr>
        <w:widowControl/>
        <w:tabs>
          <w:tab w:val="num" w:pos="1260"/>
        </w:tabs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详见附页：</w:t>
      </w:r>
    </w:p>
    <w:p w:rsidR="00E646ED" w:rsidRPr="00373FA4" w:rsidRDefault="00E646ED" w:rsidP="00E646ED">
      <w:pPr>
        <w:widowControl/>
        <w:tabs>
          <w:tab w:val="num" w:pos="1260"/>
        </w:tabs>
        <w:spacing w:beforeLines="50" w:before="156" w:line="360" w:lineRule="auto"/>
        <w:ind w:firstLineChars="200" w:firstLine="422"/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  <w:r w:rsidRPr="00373FA4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表1 学习情境描述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57"/>
        <w:gridCol w:w="2062"/>
        <w:gridCol w:w="2060"/>
        <w:gridCol w:w="1685"/>
        <w:gridCol w:w="707"/>
      </w:tblGrid>
      <w:tr w:rsidR="00E646ED" w:rsidRPr="003D6BB7" w:rsidTr="00473AAE">
        <w:trPr>
          <w:trHeight w:val="510"/>
        </w:trPr>
        <w:tc>
          <w:tcPr>
            <w:tcW w:w="380" w:type="pct"/>
            <w:shd w:val="clear" w:color="auto" w:fill="D9D9D9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5" w:type="pct"/>
            <w:shd w:val="clear" w:color="auto" w:fill="D9D9D9"/>
            <w:vAlign w:val="center"/>
          </w:tcPr>
          <w:p w:rsidR="00E646ED" w:rsidRPr="009F3EDD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9F3EDD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学习情境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技能内容与</w:t>
            </w:r>
          </w:p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教学要求</w:t>
            </w:r>
          </w:p>
        </w:tc>
        <w:tc>
          <w:tcPr>
            <w:tcW w:w="1137" w:type="pct"/>
            <w:shd w:val="clear" w:color="auto" w:fill="D9D9D9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知识内容与</w:t>
            </w:r>
          </w:p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教学要求</w:t>
            </w:r>
          </w:p>
        </w:tc>
        <w:tc>
          <w:tcPr>
            <w:tcW w:w="930" w:type="pct"/>
            <w:shd w:val="clear" w:color="auto" w:fill="D9D9D9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素质内容与</w:t>
            </w:r>
          </w:p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教学要求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42A7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学时</w:t>
            </w:r>
          </w:p>
        </w:tc>
      </w:tr>
      <w:tr w:rsidR="00E646ED" w:rsidRPr="003D6BB7" w:rsidTr="00473AAE">
        <w:trPr>
          <w:trHeight w:val="510"/>
        </w:trPr>
        <w:tc>
          <w:tcPr>
            <w:tcW w:w="38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940A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5" w:type="pct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建 账</w:t>
            </w:r>
          </w:p>
        </w:tc>
        <w:tc>
          <w:tcPr>
            <w:tcW w:w="1138" w:type="pct"/>
          </w:tcPr>
          <w:p w:rsidR="00E646ED" w:rsidRPr="006A2B03" w:rsidRDefault="00E646ED" w:rsidP="00473AA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运用会计等式分析企业发生的经济业务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类型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E646ED" w:rsidRPr="006A2B03" w:rsidRDefault="00E646ED" w:rsidP="00473AA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根据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企业发生的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经济业务编制相应的会计分录；</w:t>
            </w:r>
          </w:p>
          <w:p w:rsidR="00E646ED" w:rsidRPr="006A2B03" w:rsidRDefault="00E646ED" w:rsidP="00473AA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进行平行登记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E646ED" w:rsidRPr="006A2B03" w:rsidRDefault="00E646ED" w:rsidP="00473AA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编制试算平衡表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E646ED" w:rsidRPr="006A2B03" w:rsidRDefault="00E646ED" w:rsidP="00473AA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 w:rsidRPr="006A2B0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根据企业相关资料进行独立建账</w:t>
            </w:r>
          </w:p>
        </w:tc>
        <w:tc>
          <w:tcPr>
            <w:tcW w:w="1137" w:type="pct"/>
            <w:vAlign w:val="center"/>
          </w:tcPr>
          <w:p w:rsidR="00E646ED" w:rsidRPr="006A2B03" w:rsidRDefault="00E646ED" w:rsidP="00473AA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6A2B03">
              <w:rPr>
                <w:rFonts w:ascii="仿宋_GB2312" w:eastAsia="仿宋_GB2312" w:hint="eastAsia"/>
                <w:szCs w:val="21"/>
              </w:rPr>
              <w:t>通过</w:t>
            </w:r>
            <w:r>
              <w:rPr>
                <w:rFonts w:ascii="仿宋_GB2312" w:eastAsia="仿宋_GB2312" w:hint="eastAsia"/>
                <w:szCs w:val="21"/>
              </w:rPr>
              <w:t>学习情境的学习</w:t>
            </w:r>
            <w:r w:rsidRPr="006A2B03">
              <w:rPr>
                <w:rFonts w:ascii="仿宋_GB2312" w:eastAsia="仿宋_GB2312" w:hint="eastAsia"/>
                <w:szCs w:val="21"/>
              </w:rPr>
              <w:t>，使学生理解和掌</w:t>
            </w:r>
            <w:r>
              <w:rPr>
                <w:rFonts w:ascii="仿宋_GB2312" w:eastAsia="仿宋_GB2312" w:hint="eastAsia"/>
                <w:szCs w:val="21"/>
              </w:rPr>
              <w:t>握会计的相关基础理论知识</w:t>
            </w:r>
            <w:r w:rsidRPr="006A2B03">
              <w:rPr>
                <w:rFonts w:ascii="仿宋_GB2312" w:eastAsia="仿宋_GB2312" w:hint="eastAsia"/>
                <w:szCs w:val="21"/>
              </w:rPr>
              <w:t>，为后续</w:t>
            </w:r>
            <w:r>
              <w:rPr>
                <w:rFonts w:ascii="仿宋_GB2312" w:eastAsia="仿宋_GB2312" w:hint="eastAsia"/>
                <w:szCs w:val="21"/>
              </w:rPr>
              <w:t>内容</w:t>
            </w:r>
            <w:r w:rsidRPr="006A2B03">
              <w:rPr>
                <w:rFonts w:ascii="仿宋_GB2312" w:eastAsia="仿宋_GB2312" w:hint="eastAsia"/>
                <w:szCs w:val="21"/>
              </w:rPr>
              <w:t>的学习奠定</w:t>
            </w:r>
            <w:r>
              <w:rPr>
                <w:rFonts w:ascii="仿宋_GB2312" w:eastAsia="仿宋_GB2312" w:hint="eastAsia"/>
                <w:szCs w:val="21"/>
              </w:rPr>
              <w:t>坚实的</w:t>
            </w:r>
            <w:r w:rsidRPr="006A2B03">
              <w:rPr>
                <w:rFonts w:ascii="仿宋_GB2312" w:eastAsia="仿宋_GB2312" w:hint="eastAsia"/>
                <w:szCs w:val="21"/>
              </w:rPr>
              <w:t>理论基础</w:t>
            </w:r>
            <w:r>
              <w:rPr>
                <w:rFonts w:ascii="仿宋_GB2312" w:eastAsia="仿宋_GB2312" w:hint="eastAsia"/>
                <w:szCs w:val="21"/>
              </w:rPr>
              <w:t>;</w:t>
            </w:r>
          </w:p>
          <w:p w:rsidR="00E646ED" w:rsidRPr="00A42A7F" w:rsidRDefault="00E646ED" w:rsidP="00473AAE">
            <w:pPr>
              <w:widowControl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 w:rsidRPr="00D8586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2.学生通过该任务的完成，根据资料理解企业设置账簿的意义、熟悉账簿类型，掌握建立会计账簿的方法</w:t>
            </w:r>
          </w:p>
        </w:tc>
        <w:tc>
          <w:tcPr>
            <w:tcW w:w="930" w:type="pct"/>
          </w:tcPr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1.扎实理论功底；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2.团结合作精神；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3.严谨认真工作态度；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4.客观公正的职业意识；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5.诚实守信的职业素质；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6.爱岗敬业职业精神。</w:t>
            </w:r>
          </w:p>
          <w:p w:rsidR="00E646ED" w:rsidRPr="006A2B03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7.实践动手操作</w:t>
            </w:r>
          </w:p>
        </w:tc>
        <w:tc>
          <w:tcPr>
            <w:tcW w:w="390" w:type="pct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E17AB4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</w:tr>
      <w:tr w:rsidR="00E646ED" w:rsidRPr="003D6BB7" w:rsidTr="00473AAE">
        <w:trPr>
          <w:trHeight w:val="510"/>
        </w:trPr>
        <w:tc>
          <w:tcPr>
            <w:tcW w:w="38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940A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5" w:type="pct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日常业务处理</w:t>
            </w:r>
          </w:p>
        </w:tc>
        <w:tc>
          <w:tcPr>
            <w:tcW w:w="1138" w:type="pct"/>
          </w:tcPr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1.能够根据企业日常发生（筹集资过程、供应过程、生产过程、销售过程、利润形成分配过程）中发生的经济业务进行相应的会计处理；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2.能够对企业日常发生的经济业务的原始凭证进行识别、填制与审核；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3.能够根据企业日常发生的经济业务编制记账凭证；                    </w:t>
            </w:r>
          </w:p>
          <w:p w:rsidR="00E646ED" w:rsidRDefault="00E646ED" w:rsidP="00473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4.会进行会计凭证的传递与保管；</w:t>
            </w:r>
          </w:p>
          <w:p w:rsidR="00E646ED" w:rsidRPr="006232E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5.能够登记现金日记账、银行存款日记账；</w:t>
            </w:r>
          </w:p>
          <w:p w:rsidR="00E646ED" w:rsidRDefault="00E646ED" w:rsidP="00473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6.能够各种类型的明细账；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7.能够根据经济业务编制科目汇总表；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8.能够根据记账凭证和科目汇总表登记总账；</w:t>
            </w:r>
          </w:p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9.会进行错账更正</w:t>
            </w:r>
          </w:p>
        </w:tc>
        <w:tc>
          <w:tcPr>
            <w:tcW w:w="1137" w:type="pct"/>
          </w:tcPr>
          <w:p w:rsidR="00E646ED" w:rsidRDefault="00E646ED" w:rsidP="00473AA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1.通过本学习情境的学习，使学生了解工业企业主要经济业务核算内容、理解所运用的账户，</w:t>
            </w:r>
            <w:r>
              <w:rPr>
                <w:rFonts w:ascii="仿宋_GB2312" w:eastAsia="仿宋_GB2312" w:hint="eastAsia"/>
                <w:szCs w:val="21"/>
              </w:rPr>
              <w:t>掌握</w:t>
            </w:r>
            <w:r>
              <w:rPr>
                <w:rFonts w:ascii="仿宋_GB2312" w:eastAsia="仿宋_GB2312" w:hAnsi="宋体" w:hint="eastAsia"/>
                <w:szCs w:val="21"/>
              </w:rPr>
              <w:t>相关的会计处理；</w:t>
            </w:r>
          </w:p>
          <w:p w:rsidR="00E646ED" w:rsidRDefault="00E646ED" w:rsidP="00473AA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2.了解原始凭证的含义、种类、会识别不同类型的原始凭证，并会根据经济业务进行原始凭证的填制与审核；</w:t>
            </w:r>
          </w:p>
          <w:p w:rsidR="00E646ED" w:rsidRDefault="00E646ED" w:rsidP="00473AA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3.了解记账凭证的含义、种类，掌握填制和审核记账凭证；</w:t>
            </w:r>
          </w:p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4.了解账务处理程序含义、种类，会进行会计账簿登记并对错账进行更正</w:t>
            </w:r>
          </w:p>
        </w:tc>
        <w:tc>
          <w:tcPr>
            <w:tcW w:w="930" w:type="pct"/>
          </w:tcPr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1.扎实理论功底；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2.团结合作精神；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3.严谨认真工作态度；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4.客观公正的职业意识；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5.诚实守信的职业素质；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6.爱岗敬业职业精神。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7.实践动手操作；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ˎ̥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4C22D9"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 w:rsidRPr="004C22D9">
              <w:rPr>
                <w:rFonts w:ascii="仿宋_GB2312" w:eastAsia="仿宋_GB2312" w:hAnsi="ˎ̥" w:hint="eastAsia"/>
                <w:szCs w:val="21"/>
              </w:rPr>
              <w:t>管理财务</w:t>
            </w:r>
            <w:r>
              <w:rPr>
                <w:rFonts w:ascii="仿宋_GB2312" w:eastAsia="仿宋_GB2312" w:hAnsi="ˎ̥" w:hint="eastAsia"/>
                <w:szCs w:val="21"/>
              </w:rPr>
              <w:t>；</w:t>
            </w:r>
          </w:p>
          <w:p w:rsidR="00E646ED" w:rsidRPr="004C22D9" w:rsidRDefault="00E646ED" w:rsidP="00473AAE">
            <w:pPr>
              <w:widowControl/>
              <w:rPr>
                <w:rFonts w:ascii="仿宋_GB2312" w:eastAsia="仿宋_GB2312" w:hAnsi="ˎ̥" w:hint="eastAsia"/>
                <w:szCs w:val="21"/>
              </w:rPr>
            </w:pPr>
            <w:r>
              <w:rPr>
                <w:rFonts w:ascii="仿宋_GB2312" w:eastAsia="仿宋_GB2312" w:hAnsi="ˎ̥" w:hint="eastAsia"/>
                <w:szCs w:val="21"/>
              </w:rPr>
              <w:t>9.</w:t>
            </w:r>
            <w:r w:rsidRPr="004C22D9">
              <w:rPr>
                <w:rFonts w:ascii="仿宋_GB2312" w:eastAsia="仿宋_GB2312" w:hAnsi="ˎ̥" w:hint="eastAsia"/>
                <w:szCs w:val="21"/>
              </w:rPr>
              <w:t>信息处理</w:t>
            </w:r>
            <w:r>
              <w:rPr>
                <w:rFonts w:ascii="仿宋_GB2312" w:eastAsia="仿宋_GB2312" w:hAnsi="ˎ̥" w:hint="eastAsia"/>
                <w:szCs w:val="21"/>
              </w:rPr>
              <w:t>；</w:t>
            </w:r>
            <w:r w:rsidRPr="004C22D9">
              <w:rPr>
                <w:rFonts w:ascii="仿宋_GB2312" w:eastAsia="仿宋_GB2312" w:hAnsi="ˎ̥" w:hint="eastAsia"/>
                <w:szCs w:val="21"/>
              </w:rPr>
              <w:t xml:space="preserve"> </w:t>
            </w:r>
          </w:p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10.不做假账</w:t>
            </w:r>
          </w:p>
        </w:tc>
        <w:tc>
          <w:tcPr>
            <w:tcW w:w="39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</w:t>
            </w:r>
            <w:r w:rsidR="00E17AB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</w:tr>
      <w:tr w:rsidR="00E646ED" w:rsidRPr="003D6BB7" w:rsidTr="00473AAE">
        <w:trPr>
          <w:trHeight w:val="510"/>
        </w:trPr>
        <w:tc>
          <w:tcPr>
            <w:tcW w:w="38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940A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25" w:type="pct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期末业务处理</w:t>
            </w:r>
          </w:p>
        </w:tc>
        <w:tc>
          <w:tcPr>
            <w:tcW w:w="1138" w:type="pct"/>
          </w:tcPr>
          <w:p w:rsidR="00E646ED" w:rsidRDefault="00E646ED" w:rsidP="00473AAE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1.能够对一定期间的经济业务进行对账和结账；</w:t>
            </w:r>
          </w:p>
          <w:p w:rsidR="00E646ED" w:rsidRDefault="00E646ED" w:rsidP="00473AAE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2.能够采用相应的方法对企业的财产进行清查；</w:t>
            </w:r>
          </w:p>
          <w:p w:rsidR="00E646ED" w:rsidRPr="00F9750E" w:rsidRDefault="00E646ED" w:rsidP="00473AAE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3.能够对企业财产清查的结果，根据不同的原因进行会计处理</w:t>
            </w:r>
          </w:p>
        </w:tc>
        <w:tc>
          <w:tcPr>
            <w:tcW w:w="1137" w:type="pct"/>
          </w:tcPr>
          <w:p w:rsidR="00E646ED" w:rsidRPr="00F9750E" w:rsidRDefault="00E646ED" w:rsidP="00473AAE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2B03">
              <w:rPr>
                <w:rFonts w:ascii="仿宋_GB2312" w:eastAsia="仿宋_GB2312" w:hint="eastAsia"/>
                <w:szCs w:val="21"/>
              </w:rPr>
              <w:t>通过</w:t>
            </w:r>
            <w:r>
              <w:rPr>
                <w:rFonts w:ascii="仿宋_GB2312" w:eastAsia="仿宋_GB2312" w:hint="eastAsia"/>
                <w:szCs w:val="21"/>
              </w:rPr>
              <w:t>本学习情境的学习</w:t>
            </w:r>
            <w:r w:rsidRPr="006A2B03">
              <w:rPr>
                <w:rFonts w:ascii="仿宋_GB2312" w:eastAsia="仿宋_GB2312" w:hint="eastAsia"/>
                <w:szCs w:val="21"/>
              </w:rPr>
              <w:t>，使学生理解</w:t>
            </w:r>
            <w:r>
              <w:rPr>
                <w:rFonts w:ascii="仿宋_GB2312" w:eastAsia="仿宋_GB2312" w:hint="eastAsia"/>
                <w:szCs w:val="21"/>
              </w:rPr>
              <w:t>结账和对账的含义、意义，财产清查的含义、意义，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掌握财产清查的清查方法，会对财产清查的结果进行相应的会计处理</w:t>
            </w:r>
          </w:p>
        </w:tc>
        <w:tc>
          <w:tcPr>
            <w:tcW w:w="930" w:type="pct"/>
          </w:tcPr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1.总结归纳；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2.阅读资料；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3.团结合作；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4.沟通协调；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5.财务管理；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恪尽职守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7.</w:t>
            </w:r>
            <w:r w:rsidRPr="00F9750E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遵纪守法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8.不做假账</w:t>
            </w:r>
          </w:p>
        </w:tc>
        <w:tc>
          <w:tcPr>
            <w:tcW w:w="39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E646ED" w:rsidRPr="003D6BB7" w:rsidTr="00473AAE">
        <w:trPr>
          <w:trHeight w:val="510"/>
        </w:trPr>
        <w:tc>
          <w:tcPr>
            <w:tcW w:w="38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940A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5" w:type="pct"/>
            <w:vAlign w:val="center"/>
          </w:tcPr>
          <w:p w:rsidR="00E646ED" w:rsidRPr="00A42A7F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A6A6A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会计报告的编制</w:t>
            </w:r>
          </w:p>
        </w:tc>
        <w:tc>
          <w:tcPr>
            <w:tcW w:w="1138" w:type="pct"/>
          </w:tcPr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1.能够根据资料编制资产负债表；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2.能够根据资料编制利润表</w:t>
            </w:r>
          </w:p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7" w:type="pct"/>
          </w:tcPr>
          <w:p w:rsidR="00E646ED" w:rsidRPr="00B65C42" w:rsidRDefault="00E646ED" w:rsidP="00473AA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2B03">
              <w:rPr>
                <w:rFonts w:ascii="仿宋_GB2312" w:eastAsia="仿宋_GB2312" w:hint="eastAsia"/>
                <w:szCs w:val="21"/>
              </w:rPr>
              <w:t>通过</w:t>
            </w:r>
            <w:r>
              <w:rPr>
                <w:rFonts w:ascii="仿宋_GB2312" w:eastAsia="仿宋_GB2312" w:hint="eastAsia"/>
                <w:szCs w:val="21"/>
              </w:rPr>
              <w:t>本学习情境的学习</w:t>
            </w:r>
            <w:r w:rsidRPr="006A2B03">
              <w:rPr>
                <w:rFonts w:ascii="仿宋_GB2312" w:eastAsia="仿宋_GB2312" w:hint="eastAsia"/>
                <w:szCs w:val="21"/>
              </w:rPr>
              <w:t>，使学生</w:t>
            </w:r>
            <w:r>
              <w:rPr>
                <w:rFonts w:ascii="仿宋_GB2312" w:eastAsia="仿宋_GB2312" w:hint="eastAsia"/>
                <w:szCs w:val="21"/>
              </w:rPr>
              <w:t>了</w:t>
            </w:r>
            <w:r w:rsidRPr="006A2B03">
              <w:rPr>
                <w:rFonts w:ascii="仿宋_GB2312" w:eastAsia="仿宋_GB2312" w:hint="eastAsia"/>
                <w:szCs w:val="21"/>
              </w:rPr>
              <w:t>解</w:t>
            </w:r>
            <w:r>
              <w:rPr>
                <w:rFonts w:ascii="仿宋_GB2312" w:eastAsia="仿宋_GB2312" w:hint="eastAsia"/>
                <w:szCs w:val="21"/>
              </w:rPr>
              <w:t>财务会计报告的含义、编制的意义，报告的种类，理解资产负债表、利润表的结构，了</w:t>
            </w:r>
            <w:r w:rsidRPr="006A2B03">
              <w:rPr>
                <w:rFonts w:ascii="仿宋_GB2312" w:eastAsia="仿宋_GB2312" w:hint="eastAsia"/>
                <w:szCs w:val="21"/>
              </w:rPr>
              <w:t>解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资产负债表和利润表的编制方法，会根据资料编制相应的资产负债表和利润表</w:t>
            </w:r>
          </w:p>
        </w:tc>
        <w:tc>
          <w:tcPr>
            <w:tcW w:w="930" w:type="pct"/>
          </w:tcPr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1.</w:t>
            </w:r>
            <w:r w:rsidRPr="00F9750E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廉洁奉公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2.</w:t>
            </w:r>
            <w:r w:rsidRPr="00F9750E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爱岗敬业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3.</w:t>
            </w:r>
            <w:r w:rsidRPr="00F9750E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实事求是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4.客</w:t>
            </w:r>
            <w:r w:rsidRPr="00F9750E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观公正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不做假账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；</w:t>
            </w:r>
          </w:p>
          <w:p w:rsidR="00E646ED" w:rsidRPr="00871F9C" w:rsidRDefault="00E646ED" w:rsidP="00473AAE">
            <w:pPr>
              <w:widowControl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6.</w:t>
            </w:r>
            <w:r w:rsidRPr="00871F9C">
              <w:rPr>
                <w:rFonts w:ascii="仿宋_GB2312" w:eastAsia="仿宋_GB2312" w:hAnsi="Arial" w:cs="Arial" w:hint="eastAsia"/>
                <w:color w:val="000000"/>
                <w:szCs w:val="21"/>
                <w:lang w:eastAsia="zh-Hans"/>
              </w:rPr>
              <w:t>不畏权势</w:t>
            </w:r>
          </w:p>
        </w:tc>
        <w:tc>
          <w:tcPr>
            <w:tcW w:w="390" w:type="pct"/>
            <w:vAlign w:val="center"/>
          </w:tcPr>
          <w:p w:rsidR="00E646ED" w:rsidRPr="00B940AB" w:rsidRDefault="00E646ED" w:rsidP="00473AAE">
            <w:pPr>
              <w:widowControl/>
              <w:tabs>
                <w:tab w:val="num" w:pos="1260"/>
              </w:tabs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</w:tr>
    </w:tbl>
    <w:p w:rsidR="00E646ED" w:rsidRDefault="00E646ED" w:rsidP="00E646ED">
      <w:pPr>
        <w:rPr>
          <w:rFonts w:ascii="仿宋_GB2312" w:eastAsia="仿宋_GB2312"/>
          <w:sz w:val="24"/>
        </w:rPr>
      </w:pPr>
    </w:p>
    <w:p w:rsidR="00E646ED" w:rsidRDefault="00E646ED" w:rsidP="00E646ED">
      <w:pPr>
        <w:rPr>
          <w:rFonts w:ascii="仿宋_GB2312" w:eastAsia="仿宋_GB2312"/>
          <w:sz w:val="24"/>
        </w:rPr>
      </w:pPr>
    </w:p>
    <w:p w:rsidR="00E646ED" w:rsidRPr="001E7E26" w:rsidRDefault="00E646ED" w:rsidP="00E646ED">
      <w:pPr>
        <w:rPr>
          <w:rFonts w:ascii="仿宋_GB2312" w:eastAsia="仿宋_GB2312"/>
          <w:sz w:val="24"/>
        </w:rPr>
        <w:sectPr w:rsidR="00E646ED" w:rsidRPr="001E7E26" w:rsidSect="0090655B">
          <w:footerReference w:type="even" r:id="rId6"/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E646ED" w:rsidRDefault="00E646ED" w:rsidP="00E646ED">
      <w:pPr>
        <w:spacing w:beforeLines="50" w:before="156" w:afterLines="50" w:after="156"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4</w:t>
      </w:r>
      <w:r w:rsidRPr="00E906E9">
        <w:rPr>
          <w:rFonts w:ascii="仿宋_GB2312" w:eastAsia="仿宋_GB2312" w:hint="eastAsia"/>
          <w:b/>
          <w:sz w:val="24"/>
        </w:rPr>
        <w:t>．</w:t>
      </w:r>
      <w:r>
        <w:rPr>
          <w:rFonts w:ascii="仿宋_GB2312" w:eastAsia="仿宋_GB2312" w:hint="eastAsia"/>
          <w:b/>
          <w:sz w:val="24"/>
        </w:rPr>
        <w:t>实施建议</w:t>
      </w:r>
    </w:p>
    <w:p w:rsidR="00E646ED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7967FF">
        <w:rPr>
          <w:rFonts w:ascii="仿宋_GB2312" w:eastAsia="仿宋_GB2312" w:hint="eastAsia"/>
          <w:b/>
          <w:color w:val="000000"/>
          <w:sz w:val="24"/>
        </w:rPr>
        <w:t>4.</w:t>
      </w:r>
      <w:r>
        <w:rPr>
          <w:rFonts w:ascii="仿宋_GB2312" w:eastAsia="仿宋_GB2312" w:hint="eastAsia"/>
          <w:b/>
          <w:color w:val="000000"/>
          <w:sz w:val="24"/>
        </w:rPr>
        <w:t>1</w:t>
      </w:r>
      <w:r>
        <w:rPr>
          <w:rFonts w:ascii="仿宋_GB2312" w:eastAsia="仿宋_GB2312" w:hint="eastAsia"/>
          <w:b/>
          <w:sz w:val="24"/>
        </w:rPr>
        <w:t>师资队伍</w:t>
      </w:r>
    </w:p>
    <w:p w:rsidR="00E646ED" w:rsidRPr="000741F5" w:rsidRDefault="00E646ED" w:rsidP="00E646ED">
      <w:pPr>
        <w:widowControl/>
        <w:tabs>
          <w:tab w:val="num" w:pos="1260"/>
        </w:tabs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</w:rPr>
      </w:pP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实现本学习情境教学目标，应必备本科学历，从事会计专业教学，有创新意识，勇于进行教学改革、有一定实践经验的教师，教师在教学中善于采用新的教学理念，发挥学生主体，教师主导作用，驾驭课堂教学，教学中注重行动导向教学方法的运用，注重学生能力本位的理念，能采用多媒体课件进行课堂教学，指导学生实践有一定的方法。</w:t>
      </w:r>
    </w:p>
    <w:p w:rsidR="00E646ED" w:rsidRPr="000741F5" w:rsidRDefault="00E646ED" w:rsidP="00E646ED">
      <w:pPr>
        <w:widowControl/>
        <w:tabs>
          <w:tab w:val="num" w:pos="1260"/>
        </w:tabs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</w:rPr>
      </w:pP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兼职教师要求：本科及以上学历，会计师，实践经验丰富，在教学中能起到指导学生实践的作用。</w:t>
      </w:r>
    </w:p>
    <w:p w:rsidR="00E646ED" w:rsidRDefault="00E646ED" w:rsidP="00E646ED">
      <w:pPr>
        <w:spacing w:line="360" w:lineRule="auto"/>
        <w:ind w:firstLineChars="196" w:firstLine="472"/>
        <w:rPr>
          <w:rFonts w:ascii="仿宋_GB2312" w:eastAsia="仿宋_GB2312"/>
          <w:b/>
          <w:sz w:val="24"/>
        </w:rPr>
      </w:pPr>
      <w:r w:rsidRPr="007967FF">
        <w:rPr>
          <w:rFonts w:ascii="仿宋_GB2312" w:eastAsia="仿宋_GB2312" w:hint="eastAsia"/>
          <w:b/>
          <w:color w:val="000000"/>
          <w:sz w:val="24"/>
        </w:rPr>
        <w:t>4.</w:t>
      </w:r>
      <w:r>
        <w:rPr>
          <w:rFonts w:ascii="仿宋_GB2312" w:eastAsia="仿宋_GB2312" w:hint="eastAsia"/>
          <w:b/>
          <w:color w:val="000000"/>
          <w:sz w:val="24"/>
        </w:rPr>
        <w:t>2</w:t>
      </w:r>
      <w:r>
        <w:rPr>
          <w:rFonts w:ascii="仿宋_GB2312" w:eastAsia="仿宋_GB2312" w:hint="eastAsia"/>
          <w:b/>
          <w:sz w:val="24"/>
        </w:rPr>
        <w:t>教材及相关资源</w:t>
      </w:r>
    </w:p>
    <w:p w:rsidR="00E646ED" w:rsidRPr="00C8116F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教材的选用上</w:t>
      </w:r>
      <w:r w:rsidRPr="00C8116F">
        <w:rPr>
          <w:rFonts w:ascii="仿宋_GB2312" w:eastAsia="仿宋_GB2312" w:hAnsi="宋体" w:hint="eastAsia"/>
          <w:sz w:val="24"/>
          <w:szCs w:val="24"/>
        </w:rPr>
        <w:t>我们尽量选择：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（1）突出</w:t>
      </w:r>
      <w:r>
        <w:rPr>
          <w:rFonts w:ascii="仿宋_GB2312" w:eastAsia="仿宋_GB2312" w:hAnsi="宋体" w:hint="eastAsia"/>
          <w:sz w:val="24"/>
          <w:szCs w:val="24"/>
        </w:rPr>
        <w:t>中职</w:t>
      </w:r>
      <w:r w:rsidRPr="000741F5">
        <w:rPr>
          <w:rFonts w:ascii="仿宋_GB2312" w:eastAsia="仿宋_GB2312" w:hAnsi="宋体" w:hint="eastAsia"/>
          <w:sz w:val="24"/>
          <w:szCs w:val="24"/>
        </w:rPr>
        <w:t>培养应用型人才的特点，注重培养学生实践能力的教材。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（2）突出典型工作任务和会计工作过程的实用性教材。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（3）体现最新会计制度和准则的前沿教材。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（4）具有仿真性，企业真实的业务资料教材。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（5）内容全面，涵盖建账、日常业务处理、期末业务处理、编制会计报表的全部经济业务，实验内容与会计实务相衔接的教材。</w:t>
      </w:r>
    </w:p>
    <w:p w:rsidR="00E646ED" w:rsidRPr="00A37AAB" w:rsidRDefault="00E646ED" w:rsidP="00E646ED">
      <w:pPr>
        <w:spacing w:line="360" w:lineRule="auto"/>
        <w:ind w:firstLineChars="196" w:firstLine="472"/>
        <w:rPr>
          <w:rFonts w:ascii="仿宋_GB2312" w:eastAsia="仿宋_GB2312"/>
          <w:b/>
          <w:color w:val="000000"/>
          <w:sz w:val="24"/>
        </w:rPr>
      </w:pPr>
      <w:r w:rsidRPr="00A37AAB">
        <w:rPr>
          <w:rFonts w:ascii="仿宋_GB2312" w:eastAsia="仿宋_GB2312" w:hint="eastAsia"/>
          <w:b/>
          <w:color w:val="000000"/>
          <w:sz w:val="24"/>
        </w:rPr>
        <w:t>4.3教学组织模式</w:t>
      </w:r>
    </w:p>
    <w:p w:rsidR="00E646ED" w:rsidRDefault="00E646ED" w:rsidP="00E646ED">
      <w:pPr>
        <w:widowControl/>
        <w:tabs>
          <w:tab w:val="num" w:pos="1260"/>
        </w:tabs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由于会计核算活动主要基于一定的核算程序进行展开，所以教学中除以整班的课堂教学为主外，最好的教学组织模式宜采用把学生分组形成学习（工作团队），并基于一定的学习情景，带有明确的工作任务来具体实施教学组织。</w:t>
      </w:r>
    </w:p>
    <w:p w:rsidR="00E646ED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7967FF">
        <w:rPr>
          <w:rFonts w:ascii="仿宋_GB2312" w:eastAsia="仿宋_GB2312" w:hint="eastAsia"/>
          <w:b/>
          <w:color w:val="000000"/>
          <w:sz w:val="24"/>
        </w:rPr>
        <w:t>4.</w:t>
      </w:r>
      <w:r>
        <w:rPr>
          <w:rFonts w:ascii="仿宋_GB2312" w:eastAsia="仿宋_GB2312" w:hint="eastAsia"/>
          <w:b/>
          <w:color w:val="000000"/>
          <w:sz w:val="24"/>
        </w:rPr>
        <w:t>4</w:t>
      </w:r>
      <w:r w:rsidRPr="007967FF">
        <w:rPr>
          <w:rFonts w:ascii="仿宋_GB2312" w:eastAsia="仿宋_GB2312" w:hint="eastAsia"/>
          <w:b/>
          <w:color w:val="000000"/>
          <w:sz w:val="24"/>
        </w:rPr>
        <w:t>教学方法与手段</w:t>
      </w:r>
    </w:p>
    <w:p w:rsidR="00E646ED" w:rsidRPr="00B345AD" w:rsidRDefault="00E646ED" w:rsidP="00E646ED">
      <w:pPr>
        <w:pStyle w:val="a6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Times New Roman" w:cs="宋体"/>
          <w:kern w:val="0"/>
          <w:sz w:val="24"/>
          <w:szCs w:val="24"/>
        </w:rPr>
      </w:pPr>
      <w:r w:rsidRPr="00B345AD">
        <w:rPr>
          <w:rFonts w:ascii="仿宋_GB2312" w:eastAsia="仿宋_GB2312" w:hAnsi="宋体" w:hint="eastAsia"/>
          <w:kern w:val="0"/>
          <w:sz w:val="24"/>
          <w:szCs w:val="24"/>
        </w:rPr>
        <w:t>为使学生更好地学习本课程的教学内容，确保教学目标的实现，</w:t>
      </w:r>
      <w:r w:rsidRPr="00B345AD">
        <w:rPr>
          <w:rFonts w:ascii="仿宋_GB2312" w:eastAsia="仿宋_GB2312" w:hAnsi="Times New Roman" w:cs="宋体" w:hint="eastAsia"/>
          <w:kern w:val="0"/>
          <w:sz w:val="24"/>
          <w:szCs w:val="24"/>
        </w:rPr>
        <w:t>教师由原来的满堂讲授变为学生学习的设计者、组织、指导、咨询者，是学生的良师益友，使学生在轻松愉快中学习。</w:t>
      </w:r>
    </w:p>
    <w:p w:rsidR="00E646ED" w:rsidRPr="00B345AD" w:rsidRDefault="00E646ED" w:rsidP="00E646ED">
      <w:pPr>
        <w:pStyle w:val="a6"/>
        <w:adjustRightInd w:val="0"/>
        <w:snapToGrid w:val="0"/>
        <w:spacing w:line="360" w:lineRule="auto"/>
        <w:ind w:firstLineChars="150" w:firstLine="360"/>
        <w:jc w:val="left"/>
        <w:rPr>
          <w:rFonts w:ascii="仿宋_GB2312" w:eastAsia="仿宋_GB2312" w:hAnsi="Times New Roman" w:cs="宋体"/>
          <w:kern w:val="0"/>
          <w:sz w:val="24"/>
          <w:szCs w:val="24"/>
        </w:rPr>
      </w:pPr>
      <w:r w:rsidRPr="00B345AD">
        <w:rPr>
          <w:rFonts w:ascii="仿宋_GB2312" w:eastAsia="仿宋_GB2312" w:hAnsi="Times New Roman" w:cs="宋体" w:hint="eastAsia"/>
          <w:kern w:val="0"/>
          <w:sz w:val="24"/>
          <w:szCs w:val="24"/>
        </w:rPr>
        <w:t>在教学方法上，以行动导向教学法为主导，采用多媒体教学，同时对实践性强的学习情境采用实践先行教学法，任务驱动教学法、可视化教学法、案例分析教学法、情境教学法、小组讨论教学法、学生自主学习教学法等，充分发挥学生的主体地位，教师的主导作用，以培养学生能力为主，注重多方面能力的</w:t>
      </w:r>
      <w:r w:rsidRPr="00B345AD">
        <w:rPr>
          <w:rFonts w:ascii="仿宋_GB2312" w:eastAsia="仿宋_GB2312" w:hAnsi="Times New Roman" w:cs="宋体" w:hint="eastAsia"/>
          <w:kern w:val="0"/>
          <w:sz w:val="24"/>
          <w:szCs w:val="24"/>
        </w:rPr>
        <w:lastRenderedPageBreak/>
        <w:t>培养。</w:t>
      </w:r>
    </w:p>
    <w:p w:rsidR="00E646ED" w:rsidRDefault="00E646ED" w:rsidP="00E646E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7967FF">
        <w:rPr>
          <w:rFonts w:ascii="仿宋_GB2312" w:eastAsia="仿宋_GB2312" w:hint="eastAsia"/>
          <w:b/>
          <w:color w:val="000000"/>
          <w:sz w:val="24"/>
        </w:rPr>
        <w:t>4.</w:t>
      </w:r>
      <w:r>
        <w:rPr>
          <w:rFonts w:ascii="仿宋_GB2312" w:eastAsia="仿宋_GB2312" w:hint="eastAsia"/>
          <w:b/>
          <w:color w:val="000000"/>
          <w:sz w:val="24"/>
        </w:rPr>
        <w:t>5</w:t>
      </w:r>
      <w:r>
        <w:rPr>
          <w:rFonts w:ascii="仿宋_GB2312" w:eastAsia="仿宋_GB2312" w:hint="eastAsia"/>
          <w:b/>
          <w:sz w:val="24"/>
        </w:rPr>
        <w:t>教学考核与评价</w:t>
      </w:r>
    </w:p>
    <w:p w:rsidR="00E646ED" w:rsidRPr="000741F5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过程性考核注重学生平时学习态度、课堂纪律、基本职业素养的养成教育。包括出勤、课堂纪律、课外活动、课堂提问、平时测试、可视化成果的展示、代表发言等。</w:t>
      </w:r>
    </w:p>
    <w:p w:rsidR="00E646ED" w:rsidRPr="000741F5" w:rsidRDefault="00E646ED" w:rsidP="00E646E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终结性考核注重学生理论知识、实际技能的掌握情况，包括应知、应会两部分。</w:t>
      </w:r>
    </w:p>
    <w:p w:rsidR="00E646ED" w:rsidRPr="000741F5" w:rsidRDefault="00E646ED" w:rsidP="00E646ED">
      <w:pPr>
        <w:widowControl/>
        <w:tabs>
          <w:tab w:val="num" w:pos="1260"/>
        </w:tabs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</w:rPr>
      </w:pP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本课程通过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一</w:t>
      </w: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学期的授课任务完成，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终结性考试包括两部分</w:t>
      </w:r>
      <w:r w:rsidRPr="000741F5">
        <w:rPr>
          <w:rFonts w:ascii="仿宋_GB2312" w:eastAsia="仿宋_GB2312" w:hAnsi="宋体" w:cs="宋体" w:hint="eastAsia"/>
          <w:bCs/>
          <w:kern w:val="0"/>
          <w:sz w:val="24"/>
        </w:rPr>
        <w:t>：平时考核占总成绩的40%，期末考核占总成绩的60%。</w:t>
      </w:r>
    </w:p>
    <w:p w:rsidR="00E646ED" w:rsidRPr="00373FA4" w:rsidRDefault="00E646ED" w:rsidP="00E646ED">
      <w:pPr>
        <w:widowControl/>
        <w:tabs>
          <w:tab w:val="num" w:pos="1260"/>
        </w:tabs>
        <w:spacing w:beforeLines="50" w:before="156" w:line="360" w:lineRule="auto"/>
        <w:jc w:val="center"/>
        <w:rPr>
          <w:rFonts w:ascii="仿宋_GB2312" w:eastAsia="仿宋_GB2312" w:hAnsi="宋体" w:cs="宋体"/>
          <w:b/>
          <w:bCs/>
          <w:kern w:val="0"/>
          <w:szCs w:val="21"/>
        </w:rPr>
      </w:pPr>
      <w:r w:rsidRPr="00373FA4">
        <w:rPr>
          <w:rFonts w:ascii="仿宋_GB2312" w:eastAsia="仿宋_GB2312" w:hAnsi="宋体" w:cs="宋体" w:hint="eastAsia"/>
          <w:b/>
          <w:bCs/>
          <w:kern w:val="0"/>
          <w:szCs w:val="21"/>
        </w:rPr>
        <w:t>表2学习情境考核评价表</w:t>
      </w:r>
    </w:p>
    <w:tbl>
      <w:tblPr>
        <w:tblW w:w="5000" w:type="pct"/>
        <w:jc w:val="center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05"/>
        <w:gridCol w:w="2271"/>
        <w:gridCol w:w="2105"/>
        <w:gridCol w:w="1399"/>
        <w:gridCol w:w="1008"/>
      </w:tblGrid>
      <w:tr w:rsidR="00E646ED" w:rsidTr="00473AAE">
        <w:trPr>
          <w:trHeight w:val="567"/>
          <w:jc w:val="center"/>
        </w:trPr>
        <w:tc>
          <w:tcPr>
            <w:tcW w:w="9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E646ED" w:rsidRDefault="00E646ED" w:rsidP="00473AAE">
            <w:pPr>
              <w:pStyle w:val="11"/>
            </w:pPr>
            <w:r>
              <w:rPr>
                <w:rFonts w:hint="eastAsia"/>
              </w:rPr>
              <w:t>评分内容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E646ED" w:rsidRDefault="00E646ED" w:rsidP="00473AAE">
            <w:pPr>
              <w:pStyle w:val="110"/>
              <w:ind w:firstLineChars="250" w:firstLine="450"/>
            </w:pPr>
            <w:r>
              <w:rPr>
                <w:rFonts w:hint="eastAsia"/>
              </w:rPr>
              <w:t>评价目标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E646ED" w:rsidRDefault="00E646ED" w:rsidP="00473AAE">
            <w:pPr>
              <w:pStyle w:val="110"/>
              <w:ind w:firstLineChars="250" w:firstLine="450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E646ED" w:rsidRDefault="00E646ED" w:rsidP="00473AAE">
            <w:pPr>
              <w:pStyle w:val="110"/>
              <w:ind w:firstLineChars="50" w:firstLine="90"/>
            </w:pPr>
            <w:r>
              <w:rPr>
                <w:rFonts w:hint="eastAsia"/>
              </w:rPr>
              <w:t>评价方式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6ED" w:rsidRDefault="00E646ED" w:rsidP="00473AAE">
            <w:pPr>
              <w:pStyle w:val="110"/>
            </w:pPr>
            <w:r>
              <w:rPr>
                <w:rFonts w:hint="eastAsia"/>
              </w:rPr>
              <w:t>评价分值</w:t>
            </w:r>
          </w:p>
        </w:tc>
      </w:tr>
      <w:tr w:rsidR="00E646ED" w:rsidTr="00473AAE">
        <w:trPr>
          <w:trHeight w:val="567"/>
          <w:jc w:val="center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"/>
            </w:pPr>
            <w:r>
              <w:rPr>
                <w:rFonts w:hint="eastAsia"/>
              </w:rPr>
              <w:t>建账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能够熟练进行建账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回答问题是否正确；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作业是否认真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测试是否完成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提问、作业、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作品、测试、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46ED" w:rsidRDefault="00E646ED" w:rsidP="00473AAE">
            <w:pPr>
              <w:pStyle w:val="110"/>
              <w:ind w:firstLineChars="150" w:firstLine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</w:tr>
      <w:tr w:rsidR="00E646ED" w:rsidTr="00473AAE">
        <w:trPr>
          <w:trHeight w:val="567"/>
          <w:jc w:val="center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"/>
            </w:pPr>
            <w:r>
              <w:rPr>
                <w:rFonts w:hint="eastAsia"/>
              </w:rPr>
              <w:t>日常业务处理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能够经济业务进行相应的会计处理；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能够根据经济业务填制和审核原始凭证；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3..</w:t>
            </w:r>
            <w:r>
              <w:rPr>
                <w:rFonts w:hint="eastAsia"/>
                <w:sz w:val="21"/>
                <w:szCs w:val="21"/>
              </w:rPr>
              <w:t>根据经济业务编制相应的通用记账凭证；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登记日记账、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明细账、编制科目汇总表、登记总账；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进行相应的错账更正的方法。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回答问题是否正确；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作业是否认真；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测试是否完成；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可视化成果是否完成。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提问、作业、</w:t>
            </w:r>
          </w:p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作品、测试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ED" w:rsidRDefault="00E646ED" w:rsidP="00473AAE">
            <w:pPr>
              <w:pStyle w:val="11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45</w:t>
            </w:r>
          </w:p>
        </w:tc>
      </w:tr>
      <w:tr w:rsidR="00E646ED" w:rsidTr="00473AAE">
        <w:trPr>
          <w:trHeight w:val="567"/>
          <w:jc w:val="center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"/>
            </w:pPr>
            <w:r w:rsidRPr="009D015A">
              <w:rPr>
                <w:rFonts w:hint="eastAsia"/>
              </w:rPr>
              <w:t>期末业务处理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1.</w:t>
            </w:r>
            <w:r w:rsidRPr="009D015A">
              <w:rPr>
                <w:rFonts w:hint="eastAsia"/>
                <w:sz w:val="21"/>
                <w:szCs w:val="21"/>
              </w:rPr>
              <w:t>对账与结账；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2.</w:t>
            </w:r>
            <w:r w:rsidRPr="009D015A">
              <w:rPr>
                <w:rFonts w:hint="eastAsia"/>
                <w:sz w:val="21"/>
                <w:szCs w:val="21"/>
              </w:rPr>
              <w:t>财产清查结果的处理。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回答问题是否正确；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作业是否认真；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测试是否完成；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可视化成果是否完成。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提问、作业、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作品</w:t>
            </w:r>
            <w:r>
              <w:rPr>
                <w:rFonts w:hint="eastAsia"/>
                <w:sz w:val="21"/>
                <w:szCs w:val="21"/>
              </w:rPr>
              <w:t>、测试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ind w:firstLineChars="100" w:firstLine="2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15</w:t>
            </w:r>
          </w:p>
        </w:tc>
      </w:tr>
      <w:tr w:rsidR="00E646ED" w:rsidTr="00473AAE">
        <w:trPr>
          <w:trHeight w:val="567"/>
          <w:jc w:val="center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"/>
            </w:pPr>
            <w:r w:rsidRPr="009D015A">
              <w:rPr>
                <w:rFonts w:hint="eastAsia"/>
              </w:rPr>
              <w:t>会计报告的编制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1.</w:t>
            </w:r>
            <w:r w:rsidRPr="009D015A">
              <w:rPr>
                <w:rFonts w:hint="eastAsia"/>
                <w:sz w:val="21"/>
                <w:szCs w:val="21"/>
              </w:rPr>
              <w:t>资产负债表的编制；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2.</w:t>
            </w:r>
            <w:r w:rsidRPr="009D015A">
              <w:rPr>
                <w:rFonts w:hint="eastAsia"/>
                <w:sz w:val="21"/>
                <w:szCs w:val="21"/>
              </w:rPr>
              <w:t>利润表的编制。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回答问题是否正确；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作业是否认真；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测试是否完成；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可视化成果是否完成。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46ED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提问、作业、</w:t>
            </w:r>
          </w:p>
          <w:p w:rsidR="00E646ED" w:rsidRPr="009D015A" w:rsidRDefault="00E646ED" w:rsidP="00473AAE">
            <w:pPr>
              <w:pStyle w:val="1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作品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ED" w:rsidRPr="009D015A" w:rsidRDefault="00E646ED" w:rsidP="00473AAE">
            <w:pPr>
              <w:pStyle w:val="110"/>
              <w:ind w:firstLineChars="100" w:firstLine="210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E646ED" w:rsidRPr="009D015A" w:rsidTr="00473AAE">
        <w:trPr>
          <w:trHeight w:val="567"/>
          <w:jc w:val="center"/>
        </w:trPr>
        <w:tc>
          <w:tcPr>
            <w:tcW w:w="908" w:type="pct"/>
            <w:vAlign w:val="center"/>
          </w:tcPr>
          <w:p w:rsidR="00E646ED" w:rsidRPr="009D015A" w:rsidRDefault="00E646ED" w:rsidP="00473AAE">
            <w:pPr>
              <w:pStyle w:val="11"/>
            </w:pPr>
            <w:r w:rsidRPr="009D015A">
              <w:rPr>
                <w:rFonts w:hint="eastAsia"/>
              </w:rPr>
              <w:t>综合得分</w:t>
            </w:r>
          </w:p>
        </w:tc>
        <w:tc>
          <w:tcPr>
            <w:tcW w:w="4092" w:type="pct"/>
            <w:gridSpan w:val="4"/>
            <w:vAlign w:val="center"/>
          </w:tcPr>
          <w:p w:rsidR="00E646ED" w:rsidRPr="009D015A" w:rsidRDefault="00E646ED" w:rsidP="00473AAE">
            <w:pPr>
              <w:pStyle w:val="110"/>
              <w:ind w:firstLineChars="1150" w:firstLine="2415"/>
              <w:rPr>
                <w:sz w:val="21"/>
                <w:szCs w:val="21"/>
              </w:rPr>
            </w:pPr>
            <w:r w:rsidRPr="009D015A">
              <w:rPr>
                <w:rFonts w:hint="eastAsia"/>
                <w:sz w:val="21"/>
                <w:szCs w:val="21"/>
              </w:rPr>
              <w:t>100</w:t>
            </w:r>
          </w:p>
        </w:tc>
      </w:tr>
    </w:tbl>
    <w:p w:rsidR="00E646ED" w:rsidRPr="00474669" w:rsidRDefault="00E646ED" w:rsidP="00E646ED">
      <w:pPr>
        <w:spacing w:line="360" w:lineRule="auto"/>
        <w:ind w:firstLineChars="196" w:firstLine="472"/>
        <w:rPr>
          <w:rFonts w:ascii="仿宋_GB2312" w:eastAsia="仿宋_GB2312"/>
          <w:b/>
          <w:sz w:val="24"/>
        </w:rPr>
      </w:pPr>
      <w:r w:rsidRPr="00474669">
        <w:rPr>
          <w:rFonts w:ascii="仿宋_GB2312" w:eastAsia="仿宋_GB2312" w:hint="eastAsia"/>
          <w:b/>
          <w:sz w:val="24"/>
        </w:rPr>
        <w:lastRenderedPageBreak/>
        <w:t>4．</w:t>
      </w:r>
      <w:r>
        <w:rPr>
          <w:rFonts w:ascii="仿宋_GB2312" w:eastAsia="仿宋_GB2312" w:hint="eastAsia"/>
          <w:b/>
          <w:sz w:val="24"/>
        </w:rPr>
        <w:t>6其他</w:t>
      </w:r>
      <w:r w:rsidRPr="00474669">
        <w:rPr>
          <w:rFonts w:ascii="仿宋_GB2312" w:eastAsia="仿宋_GB2312" w:hint="eastAsia"/>
          <w:b/>
          <w:sz w:val="24"/>
        </w:rPr>
        <w:t>说明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196" w:firstLine="472"/>
        <w:rPr>
          <w:rFonts w:ascii="仿宋_GB2312" w:eastAsia="仿宋_GB2312" w:hAnsi="宋体"/>
          <w:b/>
          <w:sz w:val="24"/>
          <w:szCs w:val="24"/>
        </w:rPr>
      </w:pPr>
      <w:r w:rsidRPr="000741F5">
        <w:rPr>
          <w:rFonts w:ascii="仿宋_GB2312" w:eastAsia="仿宋_GB2312" w:hAnsi="宋体" w:hint="eastAsia"/>
          <w:b/>
          <w:sz w:val="24"/>
          <w:szCs w:val="24"/>
        </w:rPr>
        <w:t>教案编写上：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教案设计上提倡按照学习情境来设计，按照工作任务来设计，体现学生主体，教师主导地位，注重多种教学方法的运用。同时注重教学案例的搜集，典型案例的运用，教案的编写要务实。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196" w:firstLine="472"/>
        <w:rPr>
          <w:rFonts w:ascii="仿宋_GB2312" w:eastAsia="仿宋_GB2312" w:hAnsi="宋体"/>
          <w:b/>
          <w:sz w:val="24"/>
          <w:szCs w:val="24"/>
        </w:rPr>
      </w:pPr>
      <w:r w:rsidRPr="000741F5">
        <w:rPr>
          <w:rFonts w:ascii="仿宋_GB2312" w:eastAsia="仿宋_GB2312" w:hAnsi="宋体" w:hint="eastAsia"/>
          <w:b/>
          <w:sz w:val="24"/>
          <w:szCs w:val="24"/>
        </w:rPr>
        <w:t>资源的开发与使用上：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196" w:firstLine="470"/>
        <w:rPr>
          <w:rFonts w:ascii="仿宋_GB2312" w:eastAsia="仿宋_GB2312" w:hAnsi="宋体"/>
          <w:b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（1）开发适用的电子教学课件；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（2）开发实训教材的编写；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（3）充分运用会计实训室；</w:t>
      </w:r>
    </w:p>
    <w:p w:rsidR="00E646ED" w:rsidRPr="000741F5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（4）网络资源的开发和运用；</w:t>
      </w:r>
    </w:p>
    <w:p w:rsidR="006C032E" w:rsidRPr="00E646ED" w:rsidRDefault="00E646ED" w:rsidP="00E646ED">
      <w:pPr>
        <w:pStyle w:val="a6"/>
        <w:tabs>
          <w:tab w:val="num" w:pos="545"/>
          <w:tab w:val="left" w:pos="1308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1F5">
        <w:rPr>
          <w:rFonts w:ascii="仿宋_GB2312" w:eastAsia="仿宋_GB2312" w:hAnsi="宋体" w:hint="eastAsia"/>
          <w:sz w:val="24"/>
          <w:szCs w:val="24"/>
        </w:rPr>
        <w:t>（5）充分利用教学实习基地。</w:t>
      </w:r>
    </w:p>
    <w:sectPr w:rsidR="006C032E" w:rsidRPr="00E6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27" w:rsidRDefault="00CB0127">
      <w:r>
        <w:separator/>
      </w:r>
    </w:p>
  </w:endnote>
  <w:endnote w:type="continuationSeparator" w:id="0">
    <w:p w:rsidR="00CB0127" w:rsidRDefault="00CB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9F" w:rsidRDefault="00E646ED" w:rsidP="00906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C9F" w:rsidRDefault="00CB01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9F" w:rsidRDefault="00E646ED" w:rsidP="00906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AB4">
      <w:rPr>
        <w:rStyle w:val="a5"/>
        <w:noProof/>
      </w:rPr>
      <w:t>4</w:t>
    </w:r>
    <w:r>
      <w:rPr>
        <w:rStyle w:val="a5"/>
      </w:rPr>
      <w:fldChar w:fldCharType="end"/>
    </w:r>
  </w:p>
  <w:p w:rsidR="007A5C9F" w:rsidRDefault="00CB01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27" w:rsidRDefault="00CB0127">
      <w:r>
        <w:separator/>
      </w:r>
    </w:p>
  </w:footnote>
  <w:footnote w:type="continuationSeparator" w:id="0">
    <w:p w:rsidR="00CB0127" w:rsidRDefault="00CB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D"/>
    <w:rsid w:val="006C032E"/>
    <w:rsid w:val="00CB0127"/>
    <w:rsid w:val="00E17AB4"/>
    <w:rsid w:val="00E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DCD5"/>
  <w15:chartTrackingRefBased/>
  <w15:docId w15:val="{98DC4448-2469-4F67-904F-B5203F5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646E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646E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E646E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E646ED"/>
  </w:style>
  <w:style w:type="paragraph" w:styleId="a6">
    <w:name w:val="Plain Text"/>
    <w:basedOn w:val="a"/>
    <w:link w:val="a7"/>
    <w:rsid w:val="00E646ED"/>
    <w:rPr>
      <w:rFonts w:ascii="宋体" w:hAnsi="Courier New"/>
      <w:szCs w:val="20"/>
    </w:rPr>
  </w:style>
  <w:style w:type="character" w:customStyle="1" w:styleId="a7">
    <w:name w:val="纯文本 字符"/>
    <w:basedOn w:val="a0"/>
    <w:link w:val="a6"/>
    <w:rsid w:val="00E646ED"/>
    <w:rPr>
      <w:rFonts w:ascii="宋体" w:eastAsia="宋体" w:hAnsi="Courier New" w:cs="Times New Roman"/>
      <w:szCs w:val="20"/>
    </w:rPr>
  </w:style>
  <w:style w:type="paragraph" w:customStyle="1" w:styleId="11">
    <w:name w:val="11表格文字居中"/>
    <w:basedOn w:val="a"/>
    <w:autoRedefine/>
    <w:rsid w:val="00E646ED"/>
    <w:pPr>
      <w:jc w:val="center"/>
      <w:outlineLvl w:val="4"/>
    </w:pPr>
    <w:rPr>
      <w:rFonts w:ascii="仿宋_GB2312" w:eastAsia="仿宋_GB2312"/>
      <w:szCs w:val="21"/>
    </w:rPr>
  </w:style>
  <w:style w:type="paragraph" w:customStyle="1" w:styleId="110">
    <w:name w:val="11表格文字左对齐"/>
    <w:basedOn w:val="11"/>
    <w:autoRedefine/>
    <w:rsid w:val="00E646ED"/>
    <w:pPr>
      <w:jc w:val="both"/>
    </w:pPr>
    <w:rPr>
      <w:rFonts w:ascii="宋体" w:hAnsi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2021-12-02T02:15:00Z</dcterms:created>
  <dcterms:modified xsi:type="dcterms:W3CDTF">2021-12-02T03:11:00Z</dcterms:modified>
</cp:coreProperties>
</file>